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F5" w:rsidRPr="00BA5E65" w:rsidRDefault="008F30F5" w:rsidP="00942321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 w:rsidRPr="00BA5E65">
        <w:rPr>
          <w:rFonts w:ascii="Arial" w:hAnsi="Arial" w:cs="Arial"/>
          <w:b/>
        </w:rPr>
        <w:t>Zápis č.</w:t>
      </w:r>
      <w:r w:rsidR="009A6FF9" w:rsidRPr="00BA5E65">
        <w:rPr>
          <w:rFonts w:ascii="Arial" w:hAnsi="Arial" w:cs="Arial"/>
          <w:b/>
        </w:rPr>
        <w:t xml:space="preserve"> </w:t>
      </w:r>
      <w:r w:rsidR="00687114">
        <w:rPr>
          <w:rFonts w:ascii="Arial" w:hAnsi="Arial" w:cs="Arial"/>
          <w:b/>
        </w:rPr>
        <w:t>10</w:t>
      </w:r>
      <w:r w:rsidR="006C2809">
        <w:rPr>
          <w:rFonts w:ascii="Arial" w:hAnsi="Arial" w:cs="Arial"/>
          <w:b/>
        </w:rPr>
        <w:t>2</w:t>
      </w:r>
    </w:p>
    <w:p w:rsidR="00AC1BDE" w:rsidRPr="00BA5E65" w:rsidRDefault="00AC1BDE" w:rsidP="004859C6">
      <w:pPr>
        <w:jc w:val="center"/>
        <w:rPr>
          <w:rFonts w:ascii="Arial" w:hAnsi="Arial" w:cs="Arial"/>
          <w:b/>
        </w:rPr>
      </w:pPr>
    </w:p>
    <w:p w:rsidR="008F30F5" w:rsidRPr="00BA5E65" w:rsidRDefault="00E74BF7">
      <w:pPr>
        <w:jc w:val="both"/>
      </w:pPr>
      <w:r w:rsidRPr="00BA5E65">
        <w:rPr>
          <w:rFonts w:ascii="Arial" w:hAnsi="Arial" w:cs="Arial"/>
        </w:rPr>
        <w:t>Z jednání</w:t>
      </w:r>
      <w:r w:rsidR="008F30F5" w:rsidRPr="00BA5E65">
        <w:rPr>
          <w:rFonts w:ascii="Arial" w:hAnsi="Arial" w:cs="Arial"/>
        </w:rPr>
        <w:t xml:space="preserve"> výboru Společenství vlastníků bytových jednotek, Olomouc, část Nové Sady, ulice Družební 9/714, 11/715, 13/716, 15/717, 17/718, 19/719 </w:t>
      </w:r>
    </w:p>
    <w:p w:rsidR="008F30F5" w:rsidRPr="00BA5E65" w:rsidRDefault="008F30F5"/>
    <w:p w:rsidR="008F30F5" w:rsidRPr="00BA5E65" w:rsidRDefault="008F30F5">
      <w:pPr>
        <w:jc w:val="both"/>
        <w:rPr>
          <w:rFonts w:ascii="Arial" w:hAnsi="Arial" w:cs="Arial"/>
          <w:b/>
        </w:rPr>
      </w:pPr>
      <w:r w:rsidRPr="00BA5E65">
        <w:rPr>
          <w:rFonts w:ascii="Arial" w:hAnsi="Arial" w:cs="Arial"/>
          <w:b/>
        </w:rPr>
        <w:t>Datum:</w:t>
      </w:r>
      <w:r w:rsidRPr="00BA5E65">
        <w:rPr>
          <w:rFonts w:ascii="Arial" w:hAnsi="Arial" w:cs="Arial"/>
        </w:rPr>
        <w:tab/>
      </w:r>
      <w:r w:rsidR="006C2809">
        <w:rPr>
          <w:rFonts w:ascii="Arial" w:hAnsi="Arial" w:cs="Arial"/>
        </w:rPr>
        <w:t>17. 2. 2020</w:t>
      </w:r>
      <w:r w:rsidRPr="00BA5E65">
        <w:rPr>
          <w:rFonts w:ascii="Arial" w:hAnsi="Arial" w:cs="Arial"/>
        </w:rPr>
        <w:t xml:space="preserve"> – </w:t>
      </w:r>
      <w:r w:rsidR="006C2809">
        <w:rPr>
          <w:rFonts w:ascii="Arial" w:hAnsi="Arial" w:cs="Arial"/>
        </w:rPr>
        <w:t>1</w:t>
      </w:r>
      <w:r w:rsidR="0072098C" w:rsidRPr="00BA5E65">
        <w:rPr>
          <w:rFonts w:ascii="Arial" w:hAnsi="Arial" w:cs="Arial"/>
        </w:rPr>
        <w:t xml:space="preserve">. </w:t>
      </w:r>
      <w:r w:rsidR="004859C6" w:rsidRPr="00BA5E65">
        <w:rPr>
          <w:rFonts w:ascii="Arial" w:hAnsi="Arial" w:cs="Arial"/>
        </w:rPr>
        <w:t xml:space="preserve"> schůze v roce 20</w:t>
      </w:r>
      <w:r w:rsidR="006C2809">
        <w:rPr>
          <w:rFonts w:ascii="Arial" w:hAnsi="Arial" w:cs="Arial"/>
        </w:rPr>
        <w:t>20</w:t>
      </w:r>
    </w:p>
    <w:p w:rsidR="0049336D" w:rsidRPr="00BA5E65" w:rsidRDefault="008F30F5" w:rsidP="0049336D">
      <w:pPr>
        <w:rPr>
          <w:rFonts w:ascii="Arial" w:hAnsi="Arial" w:cs="Arial"/>
        </w:rPr>
      </w:pPr>
      <w:r w:rsidRPr="00BA5E65">
        <w:rPr>
          <w:rFonts w:ascii="Arial" w:hAnsi="Arial" w:cs="Arial"/>
          <w:b/>
        </w:rPr>
        <w:t>Místo</w:t>
      </w:r>
      <w:r w:rsidRPr="00BA5E65">
        <w:rPr>
          <w:rFonts w:ascii="Arial" w:hAnsi="Arial" w:cs="Arial"/>
        </w:rPr>
        <w:t>:</w:t>
      </w:r>
      <w:r w:rsidRPr="00BA5E65">
        <w:rPr>
          <w:rFonts w:ascii="Arial" w:hAnsi="Arial" w:cs="Arial"/>
        </w:rPr>
        <w:tab/>
      </w:r>
      <w:r w:rsidRPr="00BA5E65">
        <w:rPr>
          <w:rFonts w:ascii="Arial" w:hAnsi="Arial" w:cs="Arial"/>
        </w:rPr>
        <w:tab/>
        <w:t xml:space="preserve">Olomouc,  </w:t>
      </w:r>
      <w:r w:rsidR="008A58C0" w:rsidRPr="00BA5E65">
        <w:rPr>
          <w:rFonts w:ascii="Arial" w:hAnsi="Arial" w:cs="Arial"/>
        </w:rPr>
        <w:t xml:space="preserve">prostory Družební 13 </w:t>
      </w:r>
      <w:r w:rsidR="004859C6" w:rsidRPr="00BA5E65">
        <w:rPr>
          <w:rFonts w:ascii="Arial" w:hAnsi="Arial" w:cs="Arial"/>
        </w:rPr>
        <w:t>– místnost v suterénu</w:t>
      </w:r>
    </w:p>
    <w:p w:rsidR="00687114" w:rsidRDefault="008F30F5" w:rsidP="0016255C">
      <w:pPr>
        <w:ind w:left="1410" w:hanging="1410"/>
        <w:rPr>
          <w:rFonts w:ascii="Arial" w:hAnsi="Arial" w:cs="Arial"/>
          <w:b/>
          <w:u w:val="single"/>
        </w:rPr>
      </w:pPr>
      <w:r w:rsidRPr="00BA5E65">
        <w:rPr>
          <w:rFonts w:ascii="Arial" w:hAnsi="Arial" w:cs="Arial"/>
          <w:b/>
        </w:rPr>
        <w:t>Přítomni:</w:t>
      </w:r>
      <w:r w:rsidRPr="00BA5E65">
        <w:rPr>
          <w:rFonts w:ascii="Arial" w:hAnsi="Arial" w:cs="Arial"/>
        </w:rPr>
        <w:tab/>
      </w:r>
      <w:r w:rsidR="00E76AC4">
        <w:rPr>
          <w:rFonts w:ascii="Arial" w:hAnsi="Arial" w:cs="Arial"/>
        </w:rPr>
        <w:t>6</w:t>
      </w:r>
      <w:r w:rsidR="008D369B" w:rsidRPr="002B707F">
        <w:rPr>
          <w:rFonts w:ascii="Arial" w:hAnsi="Arial" w:cs="Arial"/>
          <w:b/>
          <w:u w:val="single"/>
        </w:rPr>
        <w:t xml:space="preserve"> </w:t>
      </w:r>
      <w:r w:rsidR="008D369B" w:rsidRPr="00074678">
        <w:rPr>
          <w:rFonts w:ascii="Arial" w:hAnsi="Arial" w:cs="Arial"/>
          <w:b/>
          <w:u w:val="single"/>
        </w:rPr>
        <w:t xml:space="preserve"> </w:t>
      </w:r>
      <w:r w:rsidRPr="00074678">
        <w:rPr>
          <w:rFonts w:ascii="Arial" w:hAnsi="Arial" w:cs="Arial"/>
          <w:b/>
          <w:u w:val="single"/>
        </w:rPr>
        <w:t>členů  výboru dle prezenční listiny z </w:t>
      </w:r>
      <w:r w:rsidR="008512C9" w:rsidRPr="00074678">
        <w:rPr>
          <w:rFonts w:ascii="Arial" w:hAnsi="Arial" w:cs="Arial"/>
          <w:b/>
          <w:u w:val="single"/>
        </w:rPr>
        <w:t>8</w:t>
      </w:r>
      <w:r w:rsidRPr="00074678">
        <w:rPr>
          <w:rFonts w:ascii="Arial" w:hAnsi="Arial" w:cs="Arial"/>
          <w:b/>
          <w:u w:val="single"/>
        </w:rPr>
        <w:t xml:space="preserve"> </w:t>
      </w:r>
      <w:r w:rsidR="008B0D7E" w:rsidRPr="00074678">
        <w:rPr>
          <w:rFonts w:ascii="Arial" w:hAnsi="Arial" w:cs="Arial"/>
          <w:u w:val="single"/>
        </w:rPr>
        <w:t xml:space="preserve">– </w:t>
      </w:r>
      <w:proofErr w:type="spellStart"/>
      <w:r w:rsidR="008512C9" w:rsidRPr="00074678">
        <w:rPr>
          <w:rFonts w:ascii="Arial" w:hAnsi="Arial" w:cs="Arial"/>
          <w:u w:val="single"/>
        </w:rPr>
        <w:t>M</w:t>
      </w:r>
      <w:proofErr w:type="spellEnd"/>
      <w:r w:rsidR="008512C9" w:rsidRPr="00074678">
        <w:rPr>
          <w:rFonts w:ascii="Arial" w:hAnsi="Arial" w:cs="Arial"/>
          <w:u w:val="single"/>
        </w:rPr>
        <w:t>.</w:t>
      </w:r>
      <w:r w:rsidR="008B0D7E" w:rsidRPr="00074678">
        <w:rPr>
          <w:rFonts w:ascii="Arial" w:hAnsi="Arial" w:cs="Arial"/>
          <w:u w:val="single"/>
        </w:rPr>
        <w:t xml:space="preserve">Pírek, </w:t>
      </w:r>
      <w:proofErr w:type="spellStart"/>
      <w:r w:rsidR="0016255C">
        <w:rPr>
          <w:rFonts w:ascii="Arial" w:hAnsi="Arial" w:cs="Arial"/>
          <w:u w:val="single"/>
        </w:rPr>
        <w:t>M</w:t>
      </w:r>
      <w:proofErr w:type="spellEnd"/>
      <w:r w:rsidR="0016255C">
        <w:rPr>
          <w:rFonts w:ascii="Arial" w:hAnsi="Arial" w:cs="Arial"/>
          <w:u w:val="single"/>
        </w:rPr>
        <w:t xml:space="preserve">.Doležel, </w:t>
      </w:r>
      <w:r w:rsidR="0016255C">
        <w:rPr>
          <w:rFonts w:ascii="Arial" w:hAnsi="Arial" w:cs="Arial"/>
          <w:u w:val="single"/>
        </w:rPr>
        <w:br/>
        <w:t xml:space="preserve"> </w:t>
      </w:r>
      <w:proofErr w:type="spellStart"/>
      <w:r w:rsidR="008512C9" w:rsidRPr="00074678">
        <w:rPr>
          <w:rFonts w:ascii="Arial" w:hAnsi="Arial" w:cs="Arial"/>
          <w:u w:val="single"/>
        </w:rPr>
        <w:t>V</w:t>
      </w:r>
      <w:proofErr w:type="spellEnd"/>
      <w:r w:rsidR="008512C9" w:rsidRPr="00074678">
        <w:rPr>
          <w:rFonts w:ascii="Arial" w:hAnsi="Arial" w:cs="Arial"/>
          <w:u w:val="single"/>
        </w:rPr>
        <w:t>.</w:t>
      </w:r>
      <w:proofErr w:type="spellStart"/>
      <w:r w:rsidR="008512C9" w:rsidRPr="00074678">
        <w:rPr>
          <w:rFonts w:ascii="Arial" w:hAnsi="Arial" w:cs="Arial"/>
          <w:u w:val="single"/>
        </w:rPr>
        <w:t>Štembírková</w:t>
      </w:r>
      <w:proofErr w:type="spellEnd"/>
      <w:r w:rsidR="00986DD3" w:rsidRPr="00074678">
        <w:rPr>
          <w:rFonts w:ascii="Arial" w:hAnsi="Arial" w:cs="Arial"/>
          <w:u w:val="single"/>
        </w:rPr>
        <w:t>,</w:t>
      </w:r>
      <w:r w:rsidR="008763D7" w:rsidRPr="00074678">
        <w:rPr>
          <w:rFonts w:ascii="Arial" w:hAnsi="Arial" w:cs="Arial"/>
          <w:u w:val="single"/>
        </w:rPr>
        <w:t xml:space="preserve"> </w:t>
      </w:r>
      <w:proofErr w:type="spellStart"/>
      <w:r w:rsidR="008512C9" w:rsidRPr="00074678">
        <w:rPr>
          <w:rFonts w:ascii="Arial" w:hAnsi="Arial" w:cs="Arial"/>
          <w:u w:val="single"/>
        </w:rPr>
        <w:t>J.Hornová</w:t>
      </w:r>
      <w:proofErr w:type="spellEnd"/>
      <w:r w:rsidR="0016255C">
        <w:rPr>
          <w:rFonts w:ascii="Arial" w:hAnsi="Arial" w:cs="Arial"/>
          <w:u w:val="single"/>
        </w:rPr>
        <w:t xml:space="preserve">, </w:t>
      </w:r>
      <w:proofErr w:type="spellStart"/>
      <w:r w:rsidR="0016255C">
        <w:rPr>
          <w:rFonts w:ascii="Arial" w:hAnsi="Arial" w:cs="Arial"/>
          <w:u w:val="single"/>
        </w:rPr>
        <w:t>Š.Báťková</w:t>
      </w:r>
      <w:proofErr w:type="spellEnd"/>
      <w:r w:rsidR="0016255C">
        <w:rPr>
          <w:rFonts w:ascii="Arial" w:hAnsi="Arial" w:cs="Arial"/>
          <w:u w:val="single"/>
        </w:rPr>
        <w:t xml:space="preserve">, </w:t>
      </w:r>
      <w:r w:rsidR="005A6540">
        <w:rPr>
          <w:rFonts w:ascii="Arial" w:hAnsi="Arial" w:cs="Arial"/>
          <w:u w:val="single"/>
        </w:rPr>
        <w:t>I. Studený</w:t>
      </w:r>
      <w:r w:rsidR="00986DD3" w:rsidRPr="00074678">
        <w:rPr>
          <w:rFonts w:ascii="Arial" w:hAnsi="Arial" w:cs="Arial"/>
          <w:u w:val="single"/>
        </w:rPr>
        <w:t xml:space="preserve"> </w:t>
      </w:r>
      <w:r w:rsidR="00330062" w:rsidRPr="00074678">
        <w:rPr>
          <w:rFonts w:ascii="Arial" w:hAnsi="Arial" w:cs="Arial"/>
          <w:b/>
          <w:u w:val="single"/>
        </w:rPr>
        <w:tab/>
      </w:r>
    </w:p>
    <w:p w:rsidR="00330062" w:rsidRDefault="008F30F5" w:rsidP="00687114">
      <w:pPr>
        <w:ind w:left="1410"/>
        <w:rPr>
          <w:rFonts w:ascii="Arial" w:hAnsi="Arial" w:cs="Arial"/>
          <w:u w:val="single"/>
        </w:rPr>
      </w:pPr>
      <w:r w:rsidRPr="00074678">
        <w:rPr>
          <w:rFonts w:ascii="Arial" w:hAnsi="Arial" w:cs="Arial"/>
          <w:b/>
          <w:u w:val="single"/>
        </w:rPr>
        <w:t>za kontrolní komisi</w:t>
      </w:r>
      <w:r w:rsidRPr="00074678">
        <w:rPr>
          <w:rFonts w:ascii="Arial" w:hAnsi="Arial" w:cs="Arial"/>
          <w:u w:val="single"/>
        </w:rPr>
        <w:t xml:space="preserve"> </w:t>
      </w:r>
      <w:r w:rsidR="00314D9E" w:rsidRPr="00074678">
        <w:rPr>
          <w:rFonts w:ascii="Arial" w:hAnsi="Arial" w:cs="Arial"/>
          <w:u w:val="single"/>
        </w:rPr>
        <w:t>–</w:t>
      </w:r>
      <w:r w:rsidR="00745BC2" w:rsidRPr="00074678">
        <w:rPr>
          <w:rFonts w:ascii="Arial" w:hAnsi="Arial" w:cs="Arial"/>
          <w:u w:val="single"/>
        </w:rPr>
        <w:t xml:space="preserve"> 0</w:t>
      </w:r>
    </w:p>
    <w:p w:rsidR="00687114" w:rsidRDefault="00687114" w:rsidP="0016255C">
      <w:pPr>
        <w:ind w:left="1410" w:hanging="1410"/>
        <w:rPr>
          <w:rFonts w:ascii="Arial" w:hAnsi="Arial" w:cs="Arial"/>
        </w:rPr>
      </w:pPr>
      <w:r w:rsidRPr="00687114">
        <w:rPr>
          <w:rFonts w:ascii="Arial" w:hAnsi="Arial" w:cs="Arial"/>
        </w:rPr>
        <w:t>Hosté:</w:t>
      </w:r>
      <w:r>
        <w:rPr>
          <w:rFonts w:ascii="Arial" w:hAnsi="Arial" w:cs="Arial"/>
        </w:rPr>
        <w:tab/>
      </w:r>
    </w:p>
    <w:p w:rsidR="00687114" w:rsidRPr="00687114" w:rsidRDefault="00687114" w:rsidP="00745BC2">
      <w:pPr>
        <w:ind w:left="1410" w:hanging="1410"/>
        <w:rPr>
          <w:rFonts w:ascii="Arial" w:hAnsi="Arial" w:cs="Arial"/>
        </w:rPr>
      </w:pPr>
    </w:p>
    <w:p w:rsidR="008F30F5" w:rsidRPr="00BA5E65" w:rsidRDefault="008F30F5">
      <w:pPr>
        <w:jc w:val="both"/>
        <w:rPr>
          <w:rFonts w:ascii="Arial" w:hAnsi="Arial" w:cs="Arial"/>
        </w:rPr>
      </w:pPr>
      <w:r w:rsidRPr="00BA5E65">
        <w:rPr>
          <w:rFonts w:ascii="Arial" w:hAnsi="Arial" w:cs="Arial"/>
        </w:rPr>
        <w:t xml:space="preserve">Zápisy ze schůze budou vždy umístěny na webových stránkách společenství. Upřesněné úkoly ze schůze výboru prosím sledujte proto na </w:t>
      </w:r>
      <w:r w:rsidR="00F031E5" w:rsidRPr="00BA5E65">
        <w:rPr>
          <w:rFonts w:ascii="Arial" w:hAnsi="Arial" w:cs="Arial"/>
        </w:rPr>
        <w:t xml:space="preserve">webových </w:t>
      </w:r>
      <w:r w:rsidRPr="00BA5E65">
        <w:rPr>
          <w:rFonts w:ascii="Arial" w:hAnsi="Arial" w:cs="Arial"/>
        </w:rPr>
        <w:t xml:space="preserve">stránkách  </w:t>
      </w:r>
      <w:hyperlink r:id="rId8" w:history="1">
        <w:r w:rsidR="008512C9" w:rsidRPr="00BA5E65">
          <w:rPr>
            <w:rStyle w:val="Hypertextovodkaz"/>
            <w:rFonts w:ascii="Arial" w:hAnsi="Arial" w:cs="Arial"/>
          </w:rPr>
          <w:t>https://druzebni.webnode.cz</w:t>
        </w:r>
      </w:hyperlink>
      <w:r w:rsidRPr="00BA5E65">
        <w:rPr>
          <w:rFonts w:ascii="Arial" w:hAnsi="Arial" w:cs="Arial"/>
        </w:rPr>
        <w:t>.</w:t>
      </w:r>
    </w:p>
    <w:p w:rsidR="00CE202E" w:rsidRPr="00BA5E65" w:rsidRDefault="00CE202E">
      <w:pPr>
        <w:tabs>
          <w:tab w:val="left" w:pos="2985"/>
        </w:tabs>
        <w:jc w:val="both"/>
        <w:rPr>
          <w:rFonts w:ascii="Arial" w:hAnsi="Arial" w:cs="Arial"/>
          <w:b/>
          <w:u w:val="single"/>
        </w:rPr>
      </w:pPr>
    </w:p>
    <w:p w:rsidR="00687114" w:rsidRDefault="00687114" w:rsidP="004C4FC6">
      <w:pPr>
        <w:jc w:val="both"/>
        <w:rPr>
          <w:rFonts w:ascii="Arial" w:hAnsi="Arial" w:cs="Arial"/>
          <w:i/>
          <w:u w:val="single"/>
        </w:rPr>
      </w:pPr>
    </w:p>
    <w:p w:rsidR="00C24300" w:rsidRPr="00BA5E65" w:rsidRDefault="00C24300" w:rsidP="007006BC">
      <w:pPr>
        <w:jc w:val="both"/>
        <w:rPr>
          <w:rFonts w:ascii="Arial" w:hAnsi="Arial" w:cs="Arial"/>
          <w:b/>
        </w:rPr>
      </w:pPr>
      <w:r w:rsidRPr="00BA5E65">
        <w:rPr>
          <w:rFonts w:ascii="Arial" w:hAnsi="Arial" w:cs="Arial"/>
          <w:b/>
        </w:rPr>
        <w:t>95/4 instalace STA na D</w:t>
      </w:r>
      <w:r w:rsidR="005E004D" w:rsidRPr="00BA5E65">
        <w:rPr>
          <w:rFonts w:ascii="Arial" w:hAnsi="Arial" w:cs="Arial"/>
          <w:b/>
        </w:rPr>
        <w:t>VB-T2</w:t>
      </w:r>
    </w:p>
    <w:p w:rsidR="005D4348" w:rsidRDefault="00265B5C" w:rsidP="007006BC">
      <w:pPr>
        <w:jc w:val="both"/>
        <w:rPr>
          <w:rFonts w:ascii="Arial" w:hAnsi="Arial" w:cs="Arial"/>
          <w:sz w:val="20"/>
        </w:rPr>
      </w:pPr>
      <w:r w:rsidRPr="00AC21B9">
        <w:rPr>
          <w:rFonts w:ascii="Arial" w:hAnsi="Arial" w:cs="Arial"/>
          <w:sz w:val="20"/>
        </w:rPr>
        <w:t>Po částečném přeladění signálu b</w:t>
      </w:r>
      <w:r w:rsidR="005D4348" w:rsidRPr="00AC21B9">
        <w:rPr>
          <w:rFonts w:ascii="Arial" w:hAnsi="Arial" w:cs="Arial"/>
          <w:sz w:val="20"/>
        </w:rPr>
        <w:t>yl zhotoven informační leták pro vlastníky bytů, předán členům výboru ke zveřejnění na nástěnky domů.</w:t>
      </w:r>
      <w:r w:rsidRPr="00AC21B9">
        <w:rPr>
          <w:rFonts w:ascii="Arial" w:hAnsi="Arial" w:cs="Arial"/>
          <w:sz w:val="20"/>
        </w:rPr>
        <w:t xml:space="preserve"> Součástí informace jsou i jednotlivé termíny a rozsah kanálů.</w:t>
      </w:r>
    </w:p>
    <w:p w:rsidR="0016255C" w:rsidRDefault="0016255C" w:rsidP="007006BC">
      <w:pPr>
        <w:jc w:val="both"/>
        <w:rPr>
          <w:rFonts w:ascii="Arial" w:hAnsi="Arial" w:cs="Arial"/>
          <w:sz w:val="20"/>
        </w:rPr>
      </w:pPr>
    </w:p>
    <w:p w:rsidR="0016255C" w:rsidRPr="0016255C" w:rsidRDefault="0016255C" w:rsidP="007006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listopadu 2019 sdělil zástupce firma </w:t>
      </w:r>
      <w:proofErr w:type="spellStart"/>
      <w:r>
        <w:rPr>
          <w:rFonts w:ascii="Arial" w:hAnsi="Arial" w:cs="Arial"/>
        </w:rPr>
        <w:t>Satria</w:t>
      </w:r>
      <w:proofErr w:type="spellEnd"/>
      <w:r>
        <w:rPr>
          <w:rFonts w:ascii="Arial" w:hAnsi="Arial" w:cs="Arial"/>
        </w:rPr>
        <w:t xml:space="preserve">, že vysílač Praděd bude vypnut až 2.6.2020 – následně lze provést přeladění STA – vysílač nevysílá duálně oba </w:t>
      </w:r>
      <w:proofErr w:type="spellStart"/>
      <w:r>
        <w:rPr>
          <w:rFonts w:ascii="Arial" w:hAnsi="Arial" w:cs="Arial"/>
        </w:rPr>
        <w:t>segmeny</w:t>
      </w:r>
      <w:proofErr w:type="spellEnd"/>
      <w:r>
        <w:rPr>
          <w:rFonts w:ascii="Arial" w:hAnsi="Arial" w:cs="Arial"/>
        </w:rPr>
        <w:t>. V únoru 2019 přeladěné stanice (státní) už lze naladit – tj. například ČT 1</w:t>
      </w:r>
      <w:r w:rsidR="00282EC4">
        <w:rPr>
          <w:rFonts w:ascii="Arial" w:hAnsi="Arial" w:cs="Arial"/>
        </w:rPr>
        <w:t xml:space="preserve"> – leták z února 2019 pro vlastníky je přílohou tohoto zápisu</w:t>
      </w:r>
      <w:r>
        <w:rPr>
          <w:rFonts w:ascii="Arial" w:hAnsi="Arial" w:cs="Arial"/>
        </w:rPr>
        <w:t>.</w:t>
      </w:r>
    </w:p>
    <w:p w:rsidR="00265B5C" w:rsidRPr="00E8258E" w:rsidRDefault="00265B5C" w:rsidP="007006BC">
      <w:pPr>
        <w:jc w:val="both"/>
        <w:rPr>
          <w:rFonts w:ascii="Arial" w:hAnsi="Arial" w:cs="Arial"/>
          <w:i/>
          <w:u w:val="single"/>
        </w:rPr>
      </w:pPr>
      <w:r w:rsidRPr="00E8258E">
        <w:rPr>
          <w:rFonts w:ascii="Arial" w:hAnsi="Arial" w:cs="Arial"/>
          <w:i/>
          <w:u w:val="single"/>
        </w:rPr>
        <w:t>Bude dále sledováno výborem a v potřebném termínu zajištěno kompletní přeladění.</w:t>
      </w:r>
    </w:p>
    <w:p w:rsidR="005D4348" w:rsidRPr="00AC21B9" w:rsidRDefault="005D4348" w:rsidP="007006BC">
      <w:pPr>
        <w:jc w:val="both"/>
        <w:rPr>
          <w:rFonts w:ascii="Arial" w:hAnsi="Arial" w:cs="Arial"/>
          <w:i/>
        </w:rPr>
      </w:pPr>
    </w:p>
    <w:p w:rsidR="00C36BA0" w:rsidRPr="00565502" w:rsidRDefault="00565502" w:rsidP="00D219C9">
      <w:pPr>
        <w:jc w:val="both"/>
        <w:rPr>
          <w:rFonts w:ascii="Arial" w:hAnsi="Arial" w:cs="Arial"/>
          <w:b/>
        </w:rPr>
      </w:pPr>
      <w:r w:rsidRPr="00565502">
        <w:rPr>
          <w:rFonts w:ascii="Arial" w:hAnsi="Arial" w:cs="Arial"/>
          <w:b/>
        </w:rPr>
        <w:t>96/9 provedení evidence majitelů právnické osoby</w:t>
      </w:r>
    </w:p>
    <w:p w:rsidR="00C36BA0" w:rsidRPr="00172F7E" w:rsidRDefault="00CA5BBE" w:rsidP="00D219C9">
      <w:pPr>
        <w:jc w:val="both"/>
        <w:rPr>
          <w:rFonts w:ascii="Arial" w:hAnsi="Arial" w:cs="Arial"/>
          <w:sz w:val="20"/>
        </w:rPr>
      </w:pPr>
      <w:r w:rsidRPr="00172F7E">
        <w:rPr>
          <w:rFonts w:ascii="Arial" w:hAnsi="Arial" w:cs="Arial"/>
          <w:sz w:val="20"/>
        </w:rPr>
        <w:t>Evidence majitelů právnických osob – podle nového zákona 253/2008 Sb.</w:t>
      </w:r>
      <w:r w:rsidR="00BD2858" w:rsidRPr="00172F7E">
        <w:rPr>
          <w:rFonts w:ascii="Arial" w:hAnsi="Arial" w:cs="Arial"/>
          <w:sz w:val="20"/>
        </w:rPr>
        <w:t xml:space="preserve"> proti legalizaci výnosů z trestné činnosti a financování terorismu</w:t>
      </w:r>
      <w:r w:rsidR="00565502" w:rsidRPr="00172F7E">
        <w:rPr>
          <w:rFonts w:ascii="Arial" w:hAnsi="Arial" w:cs="Arial"/>
          <w:sz w:val="20"/>
        </w:rPr>
        <w:t>, ve znění pozdějších předpisů</w:t>
      </w:r>
      <w:r w:rsidR="00BD2858" w:rsidRPr="00172F7E">
        <w:rPr>
          <w:rFonts w:ascii="Arial" w:hAnsi="Arial" w:cs="Arial"/>
          <w:sz w:val="20"/>
        </w:rPr>
        <w:t xml:space="preserve"> – splnění povinnosti nejpozději do 1.1.2021 – tj. v průběhu roku 2020!!!</w:t>
      </w:r>
    </w:p>
    <w:p w:rsidR="00BD2858" w:rsidRDefault="00E3442E" w:rsidP="00D219C9">
      <w:pPr>
        <w:jc w:val="both"/>
        <w:rPr>
          <w:rFonts w:ascii="Arial" w:hAnsi="Arial" w:cs="Arial"/>
          <w:sz w:val="20"/>
        </w:rPr>
      </w:pPr>
      <w:r w:rsidRPr="00172F7E">
        <w:rPr>
          <w:rFonts w:ascii="Arial" w:hAnsi="Arial" w:cs="Arial"/>
          <w:sz w:val="20"/>
        </w:rPr>
        <w:t>Podle informací je předložen vládě návrh na změnu zákona, podle které bude evidence majitelů právnických osob propojena automaticky s rejstříkem společenství tak, aby společenství nemusel vytvářet jiný záznam nad současné povinnosti společenství. Stav je průběžně sledován i prostřednictvím spolku „akademie bytových domů“ a spolku „okolo bytu“.</w:t>
      </w:r>
    </w:p>
    <w:p w:rsidR="00074678" w:rsidRPr="00074678" w:rsidRDefault="00074678" w:rsidP="00D219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5A6540">
        <w:rPr>
          <w:rFonts w:ascii="Arial" w:hAnsi="Arial" w:cs="Arial"/>
        </w:rPr>
        <w:t> 17. 2. 2020</w:t>
      </w:r>
      <w:r>
        <w:rPr>
          <w:rFonts w:ascii="Arial" w:hAnsi="Arial" w:cs="Arial"/>
        </w:rPr>
        <w:t xml:space="preserve"> žádné novinky.</w:t>
      </w:r>
      <w:r w:rsidR="005A6540">
        <w:rPr>
          <w:rFonts w:ascii="Arial" w:hAnsi="Arial" w:cs="Arial"/>
        </w:rPr>
        <w:t xml:space="preserve"> Předseda společenství zajistí přes advokátní kancelář – notáře – zápis do evidence majitelů právnické osoby.</w:t>
      </w:r>
    </w:p>
    <w:p w:rsidR="003263DD" w:rsidRDefault="003263DD" w:rsidP="00565502">
      <w:pPr>
        <w:suppressAutoHyphens w:val="0"/>
        <w:spacing w:after="50" w:line="240" w:lineRule="auto"/>
        <w:ind w:left="-110"/>
        <w:jc w:val="both"/>
        <w:rPr>
          <w:rFonts w:ascii="Arial" w:hAnsi="Arial" w:cs="Arial"/>
          <w:kern w:val="0"/>
          <w:lang w:eastAsia="cs-CZ"/>
        </w:rPr>
      </w:pPr>
    </w:p>
    <w:p w:rsidR="00E11079" w:rsidRPr="00623A87" w:rsidRDefault="00295843" w:rsidP="00265B5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99/2 zm</w:t>
      </w:r>
      <w:r w:rsidR="00623A87" w:rsidRPr="00623A87">
        <w:rPr>
          <w:rFonts w:ascii="Arial" w:hAnsi="Arial" w:cs="Arial"/>
          <w:b/>
        </w:rPr>
        <w:t>ěna formuláře při prodeji bytu</w:t>
      </w:r>
    </w:p>
    <w:p w:rsidR="00E11079" w:rsidRDefault="005A6540" w:rsidP="00265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lednu 2020 byl zpracován  nový formulář</w:t>
      </w:r>
      <w:r w:rsidR="00623A87">
        <w:rPr>
          <w:rFonts w:ascii="Arial" w:hAnsi="Arial" w:cs="Arial"/>
        </w:rPr>
        <w:t xml:space="preserve">, který </w:t>
      </w:r>
      <w:r>
        <w:rPr>
          <w:rFonts w:ascii="Arial" w:hAnsi="Arial" w:cs="Arial"/>
        </w:rPr>
        <w:t xml:space="preserve">by měl </w:t>
      </w:r>
      <w:r w:rsidR="00623A87">
        <w:rPr>
          <w:rFonts w:ascii="Arial" w:hAnsi="Arial" w:cs="Arial"/>
        </w:rPr>
        <w:t xml:space="preserve">vlastník vyplňovat při prodeji bytu. </w:t>
      </w:r>
      <w:r>
        <w:rPr>
          <w:rFonts w:ascii="Arial" w:hAnsi="Arial" w:cs="Arial"/>
        </w:rPr>
        <w:t xml:space="preserve">Současně byl aktualizovaný formulář předán na pověřeného správce  a  </w:t>
      </w:r>
      <w:r w:rsidR="00623A87">
        <w:rPr>
          <w:rFonts w:ascii="Arial" w:hAnsi="Arial" w:cs="Arial"/>
        </w:rPr>
        <w:t xml:space="preserve">vyvěšen na webových stránkách společenství. </w:t>
      </w:r>
      <w:r>
        <w:rPr>
          <w:rFonts w:ascii="Arial" w:hAnsi="Arial" w:cs="Arial"/>
        </w:rPr>
        <w:t>Formulář je přílohou tohoto zápisu.</w:t>
      </w:r>
    </w:p>
    <w:p w:rsidR="00BF166C" w:rsidRDefault="00BF166C" w:rsidP="004368EC">
      <w:pPr>
        <w:jc w:val="both"/>
        <w:rPr>
          <w:rFonts w:ascii="Arial" w:hAnsi="Arial" w:cs="Arial"/>
        </w:rPr>
      </w:pPr>
    </w:p>
    <w:p w:rsidR="0094448B" w:rsidRPr="00455860" w:rsidRDefault="0094448B" w:rsidP="00265B5C">
      <w:pPr>
        <w:jc w:val="both"/>
        <w:rPr>
          <w:rFonts w:ascii="Arial" w:hAnsi="Arial" w:cs="Arial"/>
          <w:b/>
        </w:rPr>
      </w:pPr>
      <w:r w:rsidRPr="00455860">
        <w:rPr>
          <w:rFonts w:ascii="Arial" w:hAnsi="Arial" w:cs="Arial"/>
          <w:b/>
        </w:rPr>
        <w:t>101/1 úvěr</w:t>
      </w:r>
    </w:p>
    <w:p w:rsidR="00382141" w:rsidRPr="000948D7" w:rsidRDefault="00382141" w:rsidP="00382141">
      <w:pPr>
        <w:jc w:val="both"/>
        <w:rPr>
          <w:rFonts w:ascii="Arial" w:hAnsi="Arial" w:cs="Arial"/>
          <w:sz w:val="20"/>
        </w:rPr>
      </w:pPr>
      <w:r w:rsidRPr="000948D7">
        <w:rPr>
          <w:rFonts w:ascii="Arial" w:hAnsi="Arial" w:cs="Arial"/>
          <w:sz w:val="20"/>
        </w:rPr>
        <w:t>Úvěr byl splacen posledním převodem z fondu oprav v měsíci listopadu, 26.11.2019 banka sdělila, že úvěr je splacen, úvěrový účet uzavřen a jistina na účtu u Poštovní spořitelny je uvolněna. Předseda výboru po upřesnění údajů při osobním jednání se zástupcem banky předal pověřenému správci podklad ke zrušení trvalého příkazu k placení splátek úvěru.</w:t>
      </w:r>
    </w:p>
    <w:p w:rsidR="000948D7" w:rsidRPr="000948D7" w:rsidRDefault="00382141" w:rsidP="00265B5C">
      <w:pPr>
        <w:jc w:val="both"/>
        <w:rPr>
          <w:rFonts w:ascii="Arial" w:hAnsi="Arial" w:cs="Arial"/>
          <w:sz w:val="20"/>
        </w:rPr>
      </w:pPr>
      <w:r w:rsidRPr="000948D7">
        <w:rPr>
          <w:rFonts w:ascii="Arial" w:hAnsi="Arial" w:cs="Arial"/>
          <w:sz w:val="20"/>
        </w:rPr>
        <w:t xml:space="preserve">Dne 2.12.2019 byl zrušen účet s Poštovní spořitelny (nyní ČSOB), na kterém byla uložena jistina k úvěru. Při osobním jednáním při zrušení účtu dne 2.12.2019 mezi zástupci banky a členy výboru (Studený, </w:t>
      </w:r>
      <w:proofErr w:type="spellStart"/>
      <w:r w:rsidRPr="000948D7">
        <w:rPr>
          <w:rFonts w:ascii="Arial" w:hAnsi="Arial" w:cs="Arial"/>
          <w:sz w:val="20"/>
        </w:rPr>
        <w:t>Štembírková</w:t>
      </w:r>
      <w:proofErr w:type="spellEnd"/>
      <w:r w:rsidRPr="000948D7">
        <w:rPr>
          <w:rFonts w:ascii="Arial" w:hAnsi="Arial" w:cs="Arial"/>
          <w:sz w:val="20"/>
        </w:rPr>
        <w:t xml:space="preserve">) byl předán  pokyn k převedení zůstatku na účtu na fond oprav Družební 9 – 19. </w:t>
      </w:r>
    </w:p>
    <w:p w:rsidR="000948D7" w:rsidRDefault="000948D7" w:rsidP="00265B5C">
      <w:pPr>
        <w:jc w:val="both"/>
        <w:rPr>
          <w:rFonts w:ascii="Arial" w:hAnsi="Arial" w:cs="Arial"/>
        </w:rPr>
      </w:pPr>
    </w:p>
    <w:p w:rsidR="00382141" w:rsidRDefault="000948D7" w:rsidP="00265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ledna 2020 byl převeden zůstatek zrušeného účtu ve výši 327 016,23 Kč na účet </w:t>
      </w:r>
      <w:r>
        <w:rPr>
          <w:rFonts w:ascii="Arial" w:hAnsi="Arial" w:cs="Arial"/>
        </w:rPr>
        <w:br/>
        <w:t xml:space="preserve">u pověřeného správce. </w:t>
      </w:r>
      <w:r w:rsidR="00382141">
        <w:rPr>
          <w:rFonts w:ascii="Arial" w:hAnsi="Arial" w:cs="Arial"/>
        </w:rPr>
        <w:t xml:space="preserve">Následně </w:t>
      </w:r>
      <w:r>
        <w:rPr>
          <w:rFonts w:ascii="Arial" w:hAnsi="Arial" w:cs="Arial"/>
        </w:rPr>
        <w:t xml:space="preserve">podle propočtu procentního poměru ke splátkám a výší deponované jistiny jednotlivými vchody </w:t>
      </w:r>
      <w:r w:rsidR="00382141">
        <w:rPr>
          <w:rFonts w:ascii="Arial" w:hAnsi="Arial" w:cs="Arial"/>
        </w:rPr>
        <w:t>b</w:t>
      </w:r>
      <w:r>
        <w:rPr>
          <w:rFonts w:ascii="Arial" w:hAnsi="Arial" w:cs="Arial"/>
        </w:rPr>
        <w:t>yl</w:t>
      </w:r>
      <w:r w:rsidR="00382141">
        <w:rPr>
          <w:rFonts w:ascii="Arial" w:hAnsi="Arial" w:cs="Arial"/>
        </w:rPr>
        <w:t xml:space="preserve"> pověřenému správci předán pokyn k přeúčtování financí na jednotlivé fondy oprav</w:t>
      </w:r>
      <w:r>
        <w:rPr>
          <w:rFonts w:ascii="Arial" w:hAnsi="Arial" w:cs="Arial"/>
        </w:rPr>
        <w:t xml:space="preserve"> takto:</w:t>
      </w:r>
    </w:p>
    <w:p w:rsidR="00382141" w:rsidRDefault="00382141" w:rsidP="00265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 9</w:t>
      </w:r>
      <w:r>
        <w:rPr>
          <w:rFonts w:ascii="Arial" w:hAnsi="Arial" w:cs="Arial"/>
        </w:rPr>
        <w:tab/>
      </w:r>
      <w:r w:rsidR="000948D7">
        <w:rPr>
          <w:rFonts w:ascii="Arial" w:hAnsi="Arial" w:cs="Arial"/>
        </w:rPr>
        <w:t>65 704,00</w:t>
      </w:r>
      <w:r>
        <w:rPr>
          <w:rFonts w:ascii="Arial" w:hAnsi="Arial" w:cs="Arial"/>
        </w:rPr>
        <w:t xml:space="preserve"> Kč</w:t>
      </w:r>
      <w:r w:rsidR="00D47D07">
        <w:rPr>
          <w:rFonts w:ascii="Arial" w:hAnsi="Arial" w:cs="Arial"/>
        </w:rPr>
        <w:t xml:space="preserve"> </w:t>
      </w:r>
      <w:r w:rsidR="00D47D07">
        <w:rPr>
          <w:rFonts w:ascii="Arial" w:hAnsi="Arial" w:cs="Arial"/>
        </w:rPr>
        <w:tab/>
        <w:t>20,06%</w:t>
      </w:r>
    </w:p>
    <w:p w:rsidR="00382141" w:rsidRDefault="00382141" w:rsidP="00265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 11</w:t>
      </w:r>
      <w:r>
        <w:rPr>
          <w:rFonts w:ascii="Arial" w:hAnsi="Arial" w:cs="Arial"/>
        </w:rPr>
        <w:tab/>
      </w:r>
      <w:r w:rsidR="000948D7">
        <w:rPr>
          <w:rFonts w:ascii="Arial" w:hAnsi="Arial" w:cs="Arial"/>
        </w:rPr>
        <w:t>66 131,36</w:t>
      </w:r>
      <w:r>
        <w:rPr>
          <w:rFonts w:ascii="Arial" w:hAnsi="Arial" w:cs="Arial"/>
        </w:rPr>
        <w:t xml:space="preserve"> Kč</w:t>
      </w:r>
      <w:r w:rsidR="000948D7">
        <w:rPr>
          <w:rFonts w:ascii="Arial" w:hAnsi="Arial" w:cs="Arial"/>
        </w:rPr>
        <w:tab/>
      </w:r>
      <w:r w:rsidR="00D47D07">
        <w:rPr>
          <w:rFonts w:ascii="Arial" w:hAnsi="Arial" w:cs="Arial"/>
        </w:rPr>
        <w:tab/>
        <w:t>20,27%</w:t>
      </w:r>
    </w:p>
    <w:p w:rsidR="00382141" w:rsidRDefault="00382141" w:rsidP="00265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 13</w:t>
      </w:r>
      <w:r>
        <w:rPr>
          <w:rFonts w:ascii="Arial" w:hAnsi="Arial" w:cs="Arial"/>
        </w:rPr>
        <w:tab/>
      </w:r>
      <w:r w:rsidR="000948D7">
        <w:rPr>
          <w:rFonts w:ascii="Arial" w:hAnsi="Arial" w:cs="Arial"/>
        </w:rPr>
        <w:t>37 569,00</w:t>
      </w:r>
      <w:r>
        <w:rPr>
          <w:rFonts w:ascii="Arial" w:hAnsi="Arial" w:cs="Arial"/>
        </w:rPr>
        <w:t xml:space="preserve"> Kč</w:t>
      </w:r>
      <w:r w:rsidR="00D47D07">
        <w:rPr>
          <w:rFonts w:ascii="Arial" w:hAnsi="Arial" w:cs="Arial"/>
        </w:rPr>
        <w:tab/>
      </w:r>
      <w:r w:rsidR="000948D7">
        <w:rPr>
          <w:rFonts w:ascii="Arial" w:hAnsi="Arial" w:cs="Arial"/>
        </w:rPr>
        <w:tab/>
      </w:r>
      <w:r w:rsidR="00D47D07">
        <w:rPr>
          <w:rFonts w:ascii="Arial" w:hAnsi="Arial" w:cs="Arial"/>
        </w:rPr>
        <w:t>11,47%</w:t>
      </w:r>
    </w:p>
    <w:p w:rsidR="00382141" w:rsidRDefault="00382141" w:rsidP="00265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 15</w:t>
      </w:r>
      <w:r>
        <w:rPr>
          <w:rFonts w:ascii="Arial" w:hAnsi="Arial" w:cs="Arial"/>
        </w:rPr>
        <w:tab/>
      </w:r>
      <w:r w:rsidR="000948D7">
        <w:rPr>
          <w:rFonts w:ascii="Arial" w:hAnsi="Arial" w:cs="Arial"/>
        </w:rPr>
        <w:t>26 794,36</w:t>
      </w:r>
      <w:r>
        <w:rPr>
          <w:rFonts w:ascii="Arial" w:hAnsi="Arial" w:cs="Arial"/>
        </w:rPr>
        <w:t xml:space="preserve"> Kč</w:t>
      </w:r>
      <w:r w:rsidR="00D47D07">
        <w:rPr>
          <w:rFonts w:ascii="Arial" w:hAnsi="Arial" w:cs="Arial"/>
        </w:rPr>
        <w:tab/>
        <w:t xml:space="preserve"> </w:t>
      </w:r>
      <w:r w:rsidR="000948D7">
        <w:rPr>
          <w:rFonts w:ascii="Arial" w:hAnsi="Arial" w:cs="Arial"/>
        </w:rPr>
        <w:tab/>
        <w:t xml:space="preserve"> </w:t>
      </w:r>
      <w:r w:rsidR="00D47D07">
        <w:rPr>
          <w:rFonts w:ascii="Arial" w:hAnsi="Arial" w:cs="Arial"/>
        </w:rPr>
        <w:t>8,26%</w:t>
      </w:r>
    </w:p>
    <w:p w:rsidR="00382141" w:rsidRDefault="00382141" w:rsidP="00265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 17</w:t>
      </w:r>
      <w:r>
        <w:rPr>
          <w:rFonts w:ascii="Arial" w:hAnsi="Arial" w:cs="Arial"/>
        </w:rPr>
        <w:tab/>
      </w:r>
      <w:r w:rsidR="000948D7">
        <w:rPr>
          <w:rFonts w:ascii="Arial" w:hAnsi="Arial" w:cs="Arial"/>
        </w:rPr>
        <w:t>63 247,00</w:t>
      </w:r>
      <w:r>
        <w:rPr>
          <w:rFonts w:ascii="Arial" w:hAnsi="Arial" w:cs="Arial"/>
        </w:rPr>
        <w:t xml:space="preserve"> Kč</w:t>
      </w:r>
      <w:r w:rsidR="00D47D07">
        <w:rPr>
          <w:rFonts w:ascii="Arial" w:hAnsi="Arial" w:cs="Arial"/>
        </w:rPr>
        <w:tab/>
      </w:r>
      <w:r w:rsidR="000948D7">
        <w:rPr>
          <w:rFonts w:ascii="Arial" w:hAnsi="Arial" w:cs="Arial"/>
        </w:rPr>
        <w:tab/>
      </w:r>
      <w:r w:rsidR="00D47D07">
        <w:rPr>
          <w:rFonts w:ascii="Arial" w:hAnsi="Arial" w:cs="Arial"/>
        </w:rPr>
        <w:t>19,31%</w:t>
      </w:r>
    </w:p>
    <w:p w:rsidR="00382141" w:rsidRDefault="00382141" w:rsidP="00265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 19</w:t>
      </w:r>
      <w:r>
        <w:rPr>
          <w:rFonts w:ascii="Arial" w:hAnsi="Arial" w:cs="Arial"/>
        </w:rPr>
        <w:tab/>
      </w:r>
      <w:r w:rsidR="000948D7">
        <w:rPr>
          <w:rFonts w:ascii="Arial" w:hAnsi="Arial" w:cs="Arial"/>
        </w:rPr>
        <w:t>67 570,51</w:t>
      </w:r>
      <w:r>
        <w:rPr>
          <w:rFonts w:ascii="Arial" w:hAnsi="Arial" w:cs="Arial"/>
        </w:rPr>
        <w:t xml:space="preserve"> Kč</w:t>
      </w:r>
      <w:r w:rsidR="00D47D07">
        <w:rPr>
          <w:rFonts w:ascii="Arial" w:hAnsi="Arial" w:cs="Arial"/>
        </w:rPr>
        <w:tab/>
      </w:r>
      <w:r w:rsidR="000948D7">
        <w:rPr>
          <w:rFonts w:ascii="Arial" w:hAnsi="Arial" w:cs="Arial"/>
        </w:rPr>
        <w:tab/>
      </w:r>
      <w:r w:rsidR="00D47D07">
        <w:rPr>
          <w:rFonts w:ascii="Arial" w:hAnsi="Arial" w:cs="Arial"/>
        </w:rPr>
        <w:t>20,63%.</w:t>
      </w:r>
    </w:p>
    <w:p w:rsidR="00455860" w:rsidRDefault="00455860" w:rsidP="00265B5C">
      <w:pPr>
        <w:jc w:val="both"/>
        <w:rPr>
          <w:rFonts w:ascii="Arial" w:hAnsi="Arial" w:cs="Arial"/>
        </w:rPr>
      </w:pPr>
    </w:p>
    <w:p w:rsidR="005D2A75" w:rsidRPr="00817EE4" w:rsidRDefault="005D2A75" w:rsidP="00265B5C">
      <w:pPr>
        <w:jc w:val="both"/>
        <w:rPr>
          <w:rFonts w:ascii="Arial" w:hAnsi="Arial" w:cs="Arial"/>
          <w:b/>
        </w:rPr>
      </w:pPr>
      <w:r w:rsidRPr="00817EE4">
        <w:rPr>
          <w:rFonts w:ascii="Arial" w:hAnsi="Arial" w:cs="Arial"/>
          <w:b/>
        </w:rPr>
        <w:t>10</w:t>
      </w:r>
      <w:r w:rsidR="00422732">
        <w:rPr>
          <w:rFonts w:ascii="Arial" w:hAnsi="Arial" w:cs="Arial"/>
          <w:b/>
        </w:rPr>
        <w:t>1</w:t>
      </w:r>
      <w:r w:rsidRPr="00817EE4">
        <w:rPr>
          <w:rFonts w:ascii="Arial" w:hAnsi="Arial" w:cs="Arial"/>
          <w:b/>
        </w:rPr>
        <w:t>/3 výtah</w:t>
      </w:r>
      <w:r w:rsidR="000E3C5C">
        <w:rPr>
          <w:rFonts w:ascii="Arial" w:hAnsi="Arial" w:cs="Arial"/>
          <w:b/>
        </w:rPr>
        <w:t xml:space="preserve"> – výběrové řízení</w:t>
      </w:r>
    </w:p>
    <w:p w:rsidR="000948D7" w:rsidRDefault="000948D7" w:rsidP="00265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lednu 2020</w:t>
      </w:r>
      <w:r w:rsidR="00AB2CA2">
        <w:rPr>
          <w:rFonts w:ascii="Arial" w:hAnsi="Arial" w:cs="Arial"/>
        </w:rPr>
        <w:t xml:space="preserve"> byl vyhotoven (předseda + člen výboru) návrh textu výběrového řízení na rekonstrukci výtahů, se zřízením další stanice v mezipatře u zadního vchodu. Text byl předložen členům výboru na schůzi s vysvětlením jednotlivých položek. Součástí je i finanční plán, kdy jednotlivé splátky jsou rozvrženy do konce roku 2022. Předpoklad minimálního finančního plnění u jednoho výtahu je cca 1,1 mil. Kč. </w:t>
      </w:r>
    </w:p>
    <w:p w:rsidR="000E3C5C" w:rsidRDefault="00AB2CA2" w:rsidP="00265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Předpoklad provedení rekonstrukce je v roce 2021 – ověřeno dotazem u výtahových firem a naplnění jejich kapacity. Součástí dodávky je i projektová dokumentace nezbytná k vystavení stavebního povolení a zajištění všech souvisejících odborných vyjádření (hasiči, hygiena). </w:t>
      </w:r>
    </w:p>
    <w:p w:rsidR="00AB2CA2" w:rsidRDefault="00AB2CA2" w:rsidP="00265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vystavení stavebního povolení bude asi podle požadavku stavebního úřadu nutný souhlas všech vlastníků společné části domu (tj. všech 139 vlastníků </w:t>
      </w:r>
      <w:proofErr w:type="spellStart"/>
      <w:r>
        <w:rPr>
          <w:rFonts w:ascii="Arial" w:hAnsi="Arial" w:cs="Arial"/>
        </w:rPr>
        <w:t>b.j</w:t>
      </w:r>
      <w:proofErr w:type="spellEnd"/>
      <w:r>
        <w:rPr>
          <w:rFonts w:ascii="Arial" w:hAnsi="Arial" w:cs="Arial"/>
        </w:rPr>
        <w:t xml:space="preserve">.). </w:t>
      </w:r>
      <w:r w:rsidR="000E3C5C">
        <w:rPr>
          <w:rFonts w:ascii="Arial" w:hAnsi="Arial" w:cs="Arial"/>
        </w:rPr>
        <w:t>Rekonstrukce výtahu byla odsouhlasena shromážděním vlastníků dne 17. 10. 2019 jako součást schváleného rozpočtu na rok 2020.</w:t>
      </w:r>
    </w:p>
    <w:p w:rsidR="005D2A75" w:rsidRDefault="000E3C5C" w:rsidP="00265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Text výběrového řízení byl odeslán doporučeně na adresu 4firem – </w:t>
      </w:r>
      <w:proofErr w:type="spellStart"/>
      <w:r>
        <w:rPr>
          <w:rFonts w:ascii="Arial" w:hAnsi="Arial" w:cs="Arial"/>
        </w:rPr>
        <w:t>Kone</w:t>
      </w:r>
      <w:proofErr w:type="spellEnd"/>
      <w:r>
        <w:rPr>
          <w:rFonts w:ascii="Arial" w:hAnsi="Arial" w:cs="Arial"/>
        </w:rPr>
        <w:t xml:space="preserve"> Česká republika; Schindler CZ, a.s.; OTIS a.s.; Výtahy Pardubice (rozsah 9 stran včetně výkresové dokumentace). Termín doručení nabídek je stanoven do 17. března 2020. Následně budou </w:t>
      </w:r>
      <w:r w:rsidR="00422732">
        <w:rPr>
          <w:rFonts w:ascii="Arial" w:hAnsi="Arial" w:cs="Arial"/>
        </w:rPr>
        <w:t>nabídky vyhodnoceny a jejich posouzení bude předmětem jednání na schůzi výboru (bude předsedou svolána jen k tomuto účelu).</w:t>
      </w:r>
    </w:p>
    <w:p w:rsidR="000E3C5C" w:rsidRDefault="000E3C5C" w:rsidP="00265B5C">
      <w:pPr>
        <w:jc w:val="both"/>
        <w:rPr>
          <w:rFonts w:ascii="Arial" w:hAnsi="Arial" w:cs="Arial"/>
        </w:rPr>
      </w:pPr>
    </w:p>
    <w:p w:rsidR="0094448B" w:rsidRDefault="00422732" w:rsidP="00265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Schůze výboru 17. 2. 2020</w:t>
      </w:r>
    </w:p>
    <w:p w:rsidR="00422732" w:rsidRPr="00422732" w:rsidRDefault="00422732" w:rsidP="00265B5C">
      <w:pPr>
        <w:jc w:val="both"/>
        <w:rPr>
          <w:rFonts w:ascii="Arial" w:hAnsi="Arial" w:cs="Arial"/>
          <w:b/>
        </w:rPr>
      </w:pPr>
      <w:r w:rsidRPr="00422732">
        <w:rPr>
          <w:rFonts w:ascii="Arial" w:hAnsi="Arial" w:cs="Arial"/>
          <w:b/>
        </w:rPr>
        <w:t>102/1</w:t>
      </w:r>
      <w:r w:rsidRPr="00422732">
        <w:rPr>
          <w:rFonts w:ascii="Arial" w:hAnsi="Arial" w:cs="Arial"/>
          <w:b/>
        </w:rPr>
        <w:tab/>
        <w:t>výměna otopného tělesa v bytě</w:t>
      </w:r>
    </w:p>
    <w:p w:rsidR="00422732" w:rsidRDefault="00422732" w:rsidP="00265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 dotazech od vlastníků bytů, kteří si chtějí vyměnit topné těleso či jej zcela demontovat, byl stanoven postup, který byl zaslán v lednu všem členům výboru (je součástí tohoto zápisu). Pokyn bude vyvěšen na webových stránkách společenství pro informaci vlastníků.</w:t>
      </w:r>
    </w:p>
    <w:p w:rsidR="00422732" w:rsidRDefault="00422732" w:rsidP="00265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Při výměně topného tělesa ve společných prostorech (sklep, chodba, kolárna) jsou náklady proplaceny z fondu oprav jednotlivých domů.</w:t>
      </w:r>
    </w:p>
    <w:p w:rsidR="00422732" w:rsidRDefault="00422732" w:rsidP="00265B5C">
      <w:pPr>
        <w:jc w:val="both"/>
        <w:rPr>
          <w:rFonts w:ascii="Arial" w:hAnsi="Arial" w:cs="Arial"/>
        </w:rPr>
      </w:pPr>
    </w:p>
    <w:p w:rsidR="00422732" w:rsidRPr="005B286C" w:rsidRDefault="00263F42" w:rsidP="00265B5C">
      <w:pPr>
        <w:jc w:val="both"/>
        <w:rPr>
          <w:rFonts w:ascii="Arial" w:hAnsi="Arial" w:cs="Arial"/>
          <w:b/>
        </w:rPr>
      </w:pPr>
      <w:r w:rsidRPr="005B286C">
        <w:rPr>
          <w:rFonts w:ascii="Arial" w:hAnsi="Arial" w:cs="Arial"/>
          <w:b/>
        </w:rPr>
        <w:t>102/2</w:t>
      </w:r>
      <w:r w:rsidRPr="005B286C">
        <w:rPr>
          <w:rFonts w:ascii="Arial" w:hAnsi="Arial" w:cs="Arial"/>
          <w:b/>
        </w:rPr>
        <w:tab/>
        <w:t>závada na přívodu studené vody – Družební 19</w:t>
      </w:r>
    </w:p>
    <w:p w:rsidR="00263F42" w:rsidRDefault="00263F42" w:rsidP="00265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Zástupce D 19 sdělil, že dochází k situaci, kdy z přívodu studené vody v bytech teče velmi teplá voda (až horká) a nelze zjistit důvod. Byla kontaktována firma </w:t>
      </w:r>
      <w:proofErr w:type="spellStart"/>
      <w:r>
        <w:rPr>
          <w:rFonts w:ascii="Arial" w:hAnsi="Arial" w:cs="Arial"/>
        </w:rPr>
        <w:t>Tököly</w:t>
      </w:r>
      <w:proofErr w:type="spellEnd"/>
      <w:r>
        <w:rPr>
          <w:rFonts w:ascii="Arial" w:hAnsi="Arial" w:cs="Arial"/>
        </w:rPr>
        <w:t xml:space="preserve">, zda se náhodou nejedná o ucpaná sítka na přívodu vody před uzávěry v šachtách bytových jednotek. Situace trvá déle jak 14 dní a ze strany firmy </w:t>
      </w:r>
      <w:proofErr w:type="spellStart"/>
      <w:r>
        <w:rPr>
          <w:rFonts w:ascii="Arial" w:hAnsi="Arial" w:cs="Arial"/>
        </w:rPr>
        <w:t>Tököly</w:t>
      </w:r>
      <w:proofErr w:type="spellEnd"/>
      <w:r>
        <w:rPr>
          <w:rFonts w:ascii="Arial" w:hAnsi="Arial" w:cs="Arial"/>
        </w:rPr>
        <w:t xml:space="preserve"> nebyla učiněna žádná opatření. Na doporučení praktika – člena výboru – byly </w:t>
      </w:r>
      <w:r w:rsidR="00B42028">
        <w:rPr>
          <w:rFonts w:ascii="Arial" w:hAnsi="Arial" w:cs="Arial"/>
        </w:rPr>
        <w:t xml:space="preserve">znovu </w:t>
      </w:r>
      <w:r>
        <w:rPr>
          <w:rFonts w:ascii="Arial" w:hAnsi="Arial" w:cs="Arial"/>
        </w:rPr>
        <w:t xml:space="preserve"> uzavřeny a znovu otevřeny všechny přívody teplé i studené vody v prostorech bytového domu Družební 19. </w:t>
      </w:r>
      <w:r w:rsidR="00B42028">
        <w:rPr>
          <w:rFonts w:ascii="Arial" w:hAnsi="Arial" w:cs="Arial"/>
        </w:rPr>
        <w:t>Problém byl z velké č</w:t>
      </w:r>
      <w:r w:rsidR="00D22957">
        <w:rPr>
          <w:rFonts w:ascii="Arial" w:hAnsi="Arial" w:cs="Arial"/>
        </w:rPr>
        <w:t>á</w:t>
      </w:r>
      <w:r w:rsidR="00B42028">
        <w:rPr>
          <w:rFonts w:ascii="Arial" w:hAnsi="Arial" w:cs="Arial"/>
        </w:rPr>
        <w:t>sti vyřešen.</w:t>
      </w:r>
    </w:p>
    <w:p w:rsidR="00D22957" w:rsidRDefault="00D22957" w:rsidP="00265B5C">
      <w:pPr>
        <w:jc w:val="both"/>
        <w:rPr>
          <w:rFonts w:ascii="Arial" w:hAnsi="Arial" w:cs="Arial"/>
        </w:rPr>
      </w:pPr>
    </w:p>
    <w:p w:rsidR="005B286C" w:rsidRDefault="005B286C" w:rsidP="00265B5C">
      <w:pPr>
        <w:jc w:val="both"/>
        <w:rPr>
          <w:rFonts w:ascii="Arial" w:hAnsi="Arial" w:cs="Arial"/>
        </w:rPr>
      </w:pPr>
    </w:p>
    <w:p w:rsidR="005B286C" w:rsidRPr="003F6D59" w:rsidRDefault="005B286C" w:rsidP="00265B5C">
      <w:pPr>
        <w:jc w:val="both"/>
        <w:rPr>
          <w:rFonts w:ascii="Arial" w:hAnsi="Arial" w:cs="Arial"/>
          <w:b/>
        </w:rPr>
      </w:pPr>
      <w:r w:rsidRPr="003F6D59">
        <w:rPr>
          <w:rFonts w:ascii="Arial" w:hAnsi="Arial" w:cs="Arial"/>
          <w:b/>
        </w:rPr>
        <w:lastRenderedPageBreak/>
        <w:t>102/3</w:t>
      </w:r>
      <w:r w:rsidRPr="003F6D59">
        <w:rPr>
          <w:rFonts w:ascii="Arial" w:hAnsi="Arial" w:cs="Arial"/>
          <w:b/>
        </w:rPr>
        <w:tab/>
        <w:t>požadavek na instalaci zvedací plošiny – Družební 13</w:t>
      </w:r>
    </w:p>
    <w:p w:rsidR="003F6D59" w:rsidRDefault="005B286C" w:rsidP="00265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Hodinář – spoluvlastník bytu D13 – se obrátil na výbor s dotazem, zda a za jakých podmínek lze instalovat na rameno schodů zvedací plošinu pro invalidní vozík. Výbor danou věc projednal s tím, že Hodinářovým bude zaslána písemná odpověď, kde budou stanoveny základní podmínky pro možnost instalaci plošiny. Současně bude zmíněna skutečnost, že v roce 2021 je plánována rekonstrukce výtahu se zřízením mezistanice u zadního vchodu (instalace plošiny pak bude bezpředmětná). </w:t>
      </w:r>
    </w:p>
    <w:p w:rsidR="005B286C" w:rsidRDefault="005B286C" w:rsidP="00265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Plošina může být instalována na náklady jejího majitele – uživatele, který bude současně zajišťovat na svoje náklady její provoz (napojení na přívod energie a samostatný měřič spotřeby</w:t>
      </w:r>
      <w:r w:rsidR="00064624">
        <w:rPr>
          <w:rFonts w:ascii="Arial" w:hAnsi="Arial" w:cs="Arial"/>
        </w:rPr>
        <w:t xml:space="preserve"> – viz § 1180 OZ</w:t>
      </w:r>
      <w:r>
        <w:rPr>
          <w:rFonts w:ascii="Arial" w:hAnsi="Arial" w:cs="Arial"/>
        </w:rPr>
        <w:t xml:space="preserve">), povinné revize a kontroly a zajistí její demontáž v případě nepotřebnosti či prodeje bytu (musí být předem stanoveny podmínky </w:t>
      </w:r>
      <w:r w:rsidR="00011C82">
        <w:rPr>
          <w:rFonts w:ascii="Arial" w:hAnsi="Arial" w:cs="Arial"/>
        </w:rPr>
        <w:t xml:space="preserve">montáže i </w:t>
      </w:r>
      <w:r>
        <w:rPr>
          <w:rFonts w:ascii="Arial" w:hAnsi="Arial" w:cs="Arial"/>
        </w:rPr>
        <w:t>demontáže</w:t>
      </w:r>
      <w:r w:rsidR="003F6D59">
        <w:rPr>
          <w:rFonts w:ascii="Arial" w:hAnsi="Arial" w:cs="Arial"/>
        </w:rPr>
        <w:t xml:space="preserve"> dotčenými orgány-například zdravotní pojišťovna, odborná firma). Je nezbytné zajistit i souhlas vlastníků bytů ve vchodě Družební 13 – umístění soukromého zařízení ve společných prostorech domu</w:t>
      </w:r>
      <w:r w:rsidR="00064624">
        <w:rPr>
          <w:rFonts w:ascii="Arial" w:hAnsi="Arial" w:cs="Arial"/>
        </w:rPr>
        <w:t xml:space="preserve"> (§ 1175 občanského zákoníku – vlastník jednotky má právo užívat společné části, nesmí však ztížit jinému vlastníku jednotky výkon stejných práv</w:t>
      </w:r>
      <w:r w:rsidR="00011C82">
        <w:rPr>
          <w:rFonts w:ascii="Arial" w:hAnsi="Arial" w:cs="Arial"/>
        </w:rPr>
        <w:t xml:space="preserve"> ani</w:t>
      </w:r>
      <w:r w:rsidR="00064624">
        <w:rPr>
          <w:rFonts w:ascii="Arial" w:hAnsi="Arial" w:cs="Arial"/>
        </w:rPr>
        <w:t xml:space="preserve"> ohrozit, změnit nebo poškodit společné části).</w:t>
      </w:r>
      <w:r w:rsidR="00011C82">
        <w:rPr>
          <w:rFonts w:ascii="Arial" w:hAnsi="Arial" w:cs="Arial"/>
        </w:rPr>
        <w:t xml:space="preserve"> Instalace plošiny či obdobného zařízení nemění poměry společných částí, není proto nezbytné hlasovat o této věci na shromáždění SVBJ. Stanovy SVBJ tyto  individuální postupy neřeš</w:t>
      </w:r>
      <w:r w:rsidR="00FB4176">
        <w:rPr>
          <w:rFonts w:ascii="Arial" w:hAnsi="Arial" w:cs="Arial"/>
        </w:rPr>
        <w:t>í.</w:t>
      </w:r>
    </w:p>
    <w:p w:rsidR="00FB4176" w:rsidRDefault="00FB4176" w:rsidP="00265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Podle sdělení pracovníka sociálního ústavu je jediným dodavatelem těchto zařízení </w:t>
      </w:r>
      <w:r w:rsidR="00166F10">
        <w:rPr>
          <w:rFonts w:ascii="Arial" w:hAnsi="Arial" w:cs="Arial"/>
        </w:rPr>
        <w:t xml:space="preserve">v naší lokalitě </w:t>
      </w:r>
      <w:r>
        <w:rPr>
          <w:rFonts w:ascii="Arial" w:hAnsi="Arial" w:cs="Arial"/>
        </w:rPr>
        <w:t>firma MANUS  Prostějov, Za Drahou 4332/4, Prostějov.</w:t>
      </w:r>
    </w:p>
    <w:p w:rsidR="003F6D59" w:rsidRDefault="003F6D59" w:rsidP="00265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dalším bude pan Hodinář jednat přímo se zástupci vchodu Družební 13.</w:t>
      </w:r>
    </w:p>
    <w:p w:rsidR="00D22957" w:rsidRDefault="00D22957" w:rsidP="00265B5C">
      <w:pPr>
        <w:jc w:val="both"/>
        <w:rPr>
          <w:rFonts w:ascii="Arial" w:hAnsi="Arial" w:cs="Arial"/>
        </w:rPr>
      </w:pPr>
    </w:p>
    <w:p w:rsidR="0094448B" w:rsidRDefault="0094448B" w:rsidP="00265B5C">
      <w:pPr>
        <w:jc w:val="both"/>
        <w:rPr>
          <w:rFonts w:ascii="Arial" w:hAnsi="Arial" w:cs="Arial"/>
        </w:rPr>
      </w:pPr>
    </w:p>
    <w:p w:rsidR="00BF166C" w:rsidRDefault="00BF166C" w:rsidP="00265B5C">
      <w:pPr>
        <w:jc w:val="both"/>
        <w:rPr>
          <w:rFonts w:ascii="Arial" w:hAnsi="Arial" w:cs="Arial"/>
        </w:rPr>
      </w:pPr>
    </w:p>
    <w:p w:rsidR="00107BC0" w:rsidRPr="00BA5E65" w:rsidRDefault="00107BC0" w:rsidP="007006BC">
      <w:pPr>
        <w:tabs>
          <w:tab w:val="left" w:pos="2985"/>
        </w:tabs>
        <w:jc w:val="both"/>
        <w:rPr>
          <w:rFonts w:ascii="Arial" w:hAnsi="Arial" w:cs="Arial"/>
          <w:b/>
        </w:rPr>
      </w:pPr>
      <w:r w:rsidRPr="00BA5E65">
        <w:rPr>
          <w:rFonts w:ascii="Arial" w:hAnsi="Arial" w:cs="Arial"/>
          <w:b/>
        </w:rPr>
        <w:t>Plán termínů d</w:t>
      </w:r>
      <w:r w:rsidR="00B277C9" w:rsidRPr="00BA5E65">
        <w:rPr>
          <w:rFonts w:ascii="Arial" w:hAnsi="Arial" w:cs="Arial"/>
          <w:b/>
        </w:rPr>
        <w:t>alší</w:t>
      </w:r>
      <w:r w:rsidRPr="00BA5E65">
        <w:rPr>
          <w:rFonts w:ascii="Arial" w:hAnsi="Arial" w:cs="Arial"/>
          <w:b/>
        </w:rPr>
        <w:t>ch</w:t>
      </w:r>
      <w:r w:rsidR="00B277C9" w:rsidRPr="00BA5E65">
        <w:rPr>
          <w:rFonts w:ascii="Arial" w:hAnsi="Arial" w:cs="Arial"/>
          <w:b/>
        </w:rPr>
        <w:t xml:space="preserve"> schůz</w:t>
      </w:r>
      <w:r w:rsidRPr="00BA5E65">
        <w:rPr>
          <w:rFonts w:ascii="Arial" w:hAnsi="Arial" w:cs="Arial"/>
          <w:b/>
        </w:rPr>
        <w:t>í</w:t>
      </w:r>
      <w:r w:rsidR="00E74BF7" w:rsidRPr="00BA5E65">
        <w:rPr>
          <w:rFonts w:ascii="Arial" w:hAnsi="Arial" w:cs="Arial"/>
          <w:b/>
        </w:rPr>
        <w:t xml:space="preserve"> - jednání</w:t>
      </w:r>
      <w:r w:rsidR="00B277C9" w:rsidRPr="00BA5E65">
        <w:rPr>
          <w:rFonts w:ascii="Arial" w:hAnsi="Arial" w:cs="Arial"/>
          <w:b/>
        </w:rPr>
        <w:t xml:space="preserve"> výboru</w:t>
      </w:r>
      <w:r w:rsidRPr="00BA5E65">
        <w:rPr>
          <w:rFonts w:ascii="Arial" w:hAnsi="Arial" w:cs="Arial"/>
          <w:b/>
        </w:rPr>
        <w:t xml:space="preserve"> </w:t>
      </w:r>
      <w:r w:rsidR="009C0C05" w:rsidRPr="00BA5E65">
        <w:rPr>
          <w:rFonts w:ascii="Arial" w:hAnsi="Arial" w:cs="Arial"/>
          <w:b/>
        </w:rPr>
        <w:t>na rok 20</w:t>
      </w:r>
      <w:r w:rsidR="005313DE">
        <w:rPr>
          <w:rFonts w:ascii="Arial" w:hAnsi="Arial" w:cs="Arial"/>
          <w:b/>
        </w:rPr>
        <w:t>20</w:t>
      </w:r>
      <w:r w:rsidR="009C0C05" w:rsidRPr="00BA5E65">
        <w:rPr>
          <w:rFonts w:ascii="Arial" w:hAnsi="Arial" w:cs="Arial"/>
          <w:b/>
        </w:rPr>
        <w:t xml:space="preserve"> </w:t>
      </w:r>
      <w:r w:rsidRPr="00BA5E65">
        <w:rPr>
          <w:rFonts w:ascii="Arial" w:hAnsi="Arial" w:cs="Arial"/>
          <w:b/>
        </w:rPr>
        <w:t>je následující:</w:t>
      </w:r>
    </w:p>
    <w:p w:rsidR="009C0C05" w:rsidRDefault="005313DE">
      <w:pPr>
        <w:jc w:val="both"/>
        <w:rPr>
          <w:rFonts w:ascii="Arial" w:hAnsi="Arial" w:cs="Arial"/>
        </w:rPr>
      </w:pPr>
      <w:r w:rsidRPr="00FB4176">
        <w:rPr>
          <w:rFonts w:ascii="Arial" w:hAnsi="Arial" w:cs="Arial"/>
          <w:strike/>
        </w:rPr>
        <w:t>17. 2. 2020</w:t>
      </w:r>
      <w:r w:rsidR="00817EE4">
        <w:rPr>
          <w:rFonts w:ascii="Arial" w:hAnsi="Arial" w:cs="Arial"/>
        </w:rPr>
        <w:tab/>
        <w:t xml:space="preserve">Družební 13 – sklepní místnost, 18:00 hodin </w:t>
      </w:r>
    </w:p>
    <w:p w:rsidR="00FB4176" w:rsidRDefault="00FB41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březen 2020 – jednání k výběrovému řízení</w:t>
      </w:r>
    </w:p>
    <w:p w:rsidR="005313DE" w:rsidRPr="00FB4176" w:rsidRDefault="005313DE">
      <w:pPr>
        <w:jc w:val="both"/>
        <w:rPr>
          <w:rFonts w:ascii="Arial" w:hAnsi="Arial" w:cs="Arial"/>
        </w:rPr>
      </w:pPr>
      <w:r w:rsidRPr="00FB4176">
        <w:rPr>
          <w:rFonts w:ascii="Arial" w:hAnsi="Arial" w:cs="Arial"/>
          <w:strike/>
        </w:rPr>
        <w:t>20. 4. 2020</w:t>
      </w:r>
      <w:r w:rsidR="00FB4176">
        <w:rPr>
          <w:rFonts w:ascii="Arial" w:hAnsi="Arial" w:cs="Arial"/>
          <w:strike/>
        </w:rPr>
        <w:t xml:space="preserve"> </w:t>
      </w:r>
      <w:r w:rsidR="00FB4176">
        <w:rPr>
          <w:rFonts w:ascii="Arial" w:hAnsi="Arial" w:cs="Arial"/>
        </w:rPr>
        <w:t xml:space="preserve"> přeloženo na 27.4.2020</w:t>
      </w:r>
    </w:p>
    <w:p w:rsidR="005313DE" w:rsidRDefault="0053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15. 6. 2020</w:t>
      </w:r>
    </w:p>
    <w:p w:rsidR="005313DE" w:rsidRDefault="0053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7. 9. 2020</w:t>
      </w:r>
    </w:p>
    <w:p w:rsidR="005313DE" w:rsidRDefault="0053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160F1">
        <w:rPr>
          <w:rFonts w:ascii="Arial" w:hAnsi="Arial" w:cs="Arial"/>
        </w:rPr>
        <w:t>9</w:t>
      </w:r>
      <w:r>
        <w:rPr>
          <w:rFonts w:ascii="Arial" w:hAnsi="Arial" w:cs="Arial"/>
        </w:rPr>
        <w:t>. 9. 2020</w:t>
      </w:r>
      <w:r w:rsidR="00F160F1">
        <w:rPr>
          <w:rFonts w:ascii="Arial" w:hAnsi="Arial" w:cs="Arial"/>
        </w:rPr>
        <w:t xml:space="preserve">  (původní termín 28.9. 2020 je státní svátek)</w:t>
      </w:r>
    </w:p>
    <w:p w:rsidR="005313DE" w:rsidRDefault="0053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15. 10. 2020 – shromáždění</w:t>
      </w:r>
    </w:p>
    <w:p w:rsidR="005313DE" w:rsidRDefault="00531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7. 12. 2020</w:t>
      </w:r>
    </w:p>
    <w:p w:rsidR="005313DE" w:rsidRPr="00BA5E65" w:rsidRDefault="005313DE">
      <w:pPr>
        <w:jc w:val="both"/>
        <w:rPr>
          <w:rFonts w:ascii="Arial" w:hAnsi="Arial" w:cs="Arial"/>
        </w:rPr>
      </w:pPr>
    </w:p>
    <w:p w:rsidR="008D5BD2" w:rsidRPr="00BA5E65" w:rsidRDefault="008D5BD2">
      <w:pPr>
        <w:jc w:val="both"/>
        <w:rPr>
          <w:rFonts w:ascii="Arial" w:hAnsi="Arial" w:cs="Arial"/>
        </w:rPr>
      </w:pPr>
    </w:p>
    <w:p w:rsidR="008F30F5" w:rsidRPr="00BA5E65" w:rsidRDefault="00F50E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Zapsala:</w:t>
      </w:r>
      <w:r w:rsidR="008F30F5" w:rsidRPr="00BA5E65">
        <w:rPr>
          <w:rFonts w:ascii="Arial" w:hAnsi="Arial" w:cs="Arial"/>
        </w:rPr>
        <w:tab/>
      </w:r>
      <w:r w:rsidR="009C0C05" w:rsidRPr="00BA5E65">
        <w:rPr>
          <w:rFonts w:ascii="Arial" w:hAnsi="Arial" w:cs="Arial"/>
        </w:rPr>
        <w:t xml:space="preserve">Ing. Věra </w:t>
      </w:r>
      <w:proofErr w:type="spellStart"/>
      <w:r w:rsidR="009C0C05" w:rsidRPr="00BA5E65">
        <w:rPr>
          <w:rFonts w:ascii="Arial" w:hAnsi="Arial" w:cs="Arial"/>
        </w:rPr>
        <w:t>Štembírková</w:t>
      </w:r>
      <w:proofErr w:type="spellEnd"/>
    </w:p>
    <w:p w:rsidR="00E11079" w:rsidRDefault="00F50E4A">
      <w:pPr>
        <w:jc w:val="both"/>
        <w:rPr>
          <w:rFonts w:ascii="Arial" w:hAnsi="Arial" w:cs="Arial"/>
          <w:noProof/>
          <w:lang w:eastAsia="cs-CZ"/>
        </w:rPr>
      </w:pPr>
      <w:r>
        <w:rPr>
          <w:rFonts w:ascii="Arial" w:hAnsi="Arial" w:cs="Arial"/>
        </w:rPr>
        <w:t>Schválila:</w:t>
      </w:r>
      <w:r w:rsidR="0086605D" w:rsidRPr="00BA5E65">
        <w:rPr>
          <w:rFonts w:ascii="Arial" w:hAnsi="Arial" w:cs="Arial"/>
        </w:rPr>
        <w:tab/>
      </w:r>
      <w:r w:rsidR="0032165B" w:rsidRPr="00BA5E65">
        <w:rPr>
          <w:rFonts w:ascii="Arial" w:hAnsi="Arial" w:cs="Arial"/>
        </w:rPr>
        <w:t xml:space="preserve">Ing. Zdenka Labounková </w:t>
      </w:r>
    </w:p>
    <w:p w:rsidR="00E11079" w:rsidRDefault="00E11079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:rsidR="00F160F1" w:rsidRDefault="00F160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zápisu </w:t>
      </w:r>
      <w:r w:rsidR="00FB4176">
        <w:rPr>
          <w:rFonts w:ascii="Arial" w:hAnsi="Arial" w:cs="Arial"/>
        </w:rPr>
        <w:tab/>
      </w:r>
      <w:r>
        <w:rPr>
          <w:rFonts w:ascii="Arial" w:hAnsi="Arial" w:cs="Arial"/>
        </w:rPr>
        <w:t>–</w:t>
      </w:r>
      <w:r w:rsidR="00FB4176">
        <w:rPr>
          <w:rFonts w:ascii="Arial" w:hAnsi="Arial" w:cs="Arial"/>
        </w:rPr>
        <w:t xml:space="preserve">   aktualizovaný formulář při změně vlastníka bytu</w:t>
      </w:r>
    </w:p>
    <w:p w:rsidR="00FB4176" w:rsidRPr="00FB4176" w:rsidRDefault="00FB4176" w:rsidP="00FB4176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postup při výměně či odstranění topení</w:t>
      </w:r>
    </w:p>
    <w:p w:rsidR="00282EC4" w:rsidRDefault="00282EC4" w:rsidP="00282EC4"/>
    <w:p w:rsidR="00282EC4" w:rsidRDefault="00282EC4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 w:rsidP="001664A7">
      <w:pPr>
        <w:jc w:val="center"/>
        <w:rPr>
          <w:b/>
          <w:sz w:val="32"/>
        </w:rPr>
      </w:pPr>
    </w:p>
    <w:p w:rsidR="001664A7" w:rsidRPr="00FB4176" w:rsidRDefault="001664A7" w:rsidP="001664A7">
      <w:pPr>
        <w:jc w:val="center"/>
        <w:rPr>
          <w:rFonts w:ascii="Arial" w:hAnsi="Arial" w:cs="Arial"/>
          <w:b/>
          <w:sz w:val="32"/>
        </w:rPr>
      </w:pPr>
      <w:r w:rsidRPr="00FB4176">
        <w:rPr>
          <w:rFonts w:ascii="Arial" w:hAnsi="Arial" w:cs="Arial"/>
          <w:b/>
          <w:sz w:val="32"/>
        </w:rPr>
        <w:t>Změna uživatele bytu (prodej, převod, apod.)</w:t>
      </w:r>
    </w:p>
    <w:p w:rsidR="001664A7" w:rsidRPr="00FB4176" w:rsidRDefault="001664A7" w:rsidP="001664A7">
      <w:pPr>
        <w:jc w:val="center"/>
        <w:rPr>
          <w:rFonts w:ascii="Arial" w:hAnsi="Arial" w:cs="Arial"/>
          <w:b/>
          <w:sz w:val="32"/>
        </w:rPr>
      </w:pPr>
    </w:p>
    <w:p w:rsidR="001664A7" w:rsidRPr="00FB4176" w:rsidRDefault="001664A7" w:rsidP="001664A7">
      <w:pPr>
        <w:rPr>
          <w:rFonts w:ascii="Arial" w:hAnsi="Arial" w:cs="Arial"/>
        </w:rPr>
      </w:pPr>
    </w:p>
    <w:p w:rsidR="001664A7" w:rsidRPr="00FB4176" w:rsidRDefault="001664A7" w:rsidP="001664A7">
      <w:pPr>
        <w:jc w:val="both"/>
        <w:rPr>
          <w:rFonts w:ascii="Arial" w:hAnsi="Arial" w:cs="Arial"/>
          <w:b/>
          <w:u w:val="single"/>
        </w:rPr>
      </w:pPr>
      <w:r w:rsidRPr="00FB4176">
        <w:rPr>
          <w:rFonts w:ascii="Arial" w:hAnsi="Arial" w:cs="Arial"/>
        </w:rPr>
        <w:t xml:space="preserve">Při prodeji či převodu bytu, jehož vlastník je podle zákona členem Společenství vlastníků bytových jednotek, IČO 27 780 007, je nutné provést (mimo povinné právní kroky) </w:t>
      </w:r>
      <w:r w:rsidRPr="00FB4176">
        <w:rPr>
          <w:rFonts w:ascii="Arial" w:hAnsi="Arial" w:cs="Arial"/>
          <w:b/>
          <w:u w:val="single"/>
        </w:rPr>
        <w:t>následující úkony:</w:t>
      </w:r>
    </w:p>
    <w:p w:rsidR="001664A7" w:rsidRPr="00FB4176" w:rsidRDefault="001664A7" w:rsidP="001664A7">
      <w:pPr>
        <w:jc w:val="both"/>
        <w:rPr>
          <w:rFonts w:ascii="Arial" w:hAnsi="Arial" w:cs="Arial"/>
        </w:rPr>
      </w:pPr>
    </w:p>
    <w:p w:rsidR="001664A7" w:rsidRPr="00FB4176" w:rsidRDefault="001664A7" w:rsidP="001664A7">
      <w:pPr>
        <w:pStyle w:val="Odstavecseseznamem"/>
        <w:numPr>
          <w:ilvl w:val="0"/>
          <w:numId w:val="25"/>
        </w:numPr>
        <w:suppressAutoHyphens w:val="0"/>
        <w:spacing w:line="240" w:lineRule="auto"/>
        <w:jc w:val="both"/>
        <w:rPr>
          <w:rFonts w:ascii="Arial" w:hAnsi="Arial" w:cs="Arial"/>
        </w:rPr>
      </w:pPr>
      <w:r w:rsidRPr="00FB4176">
        <w:rPr>
          <w:rFonts w:ascii="Arial" w:hAnsi="Arial" w:cs="Arial"/>
          <w:u w:val="single"/>
        </w:rPr>
        <w:t>nahlásit změnu vlastníka bytu volenému zástupci vchodu</w:t>
      </w:r>
      <w:r w:rsidRPr="00FB4176">
        <w:rPr>
          <w:rFonts w:ascii="Arial" w:hAnsi="Arial" w:cs="Arial"/>
        </w:rPr>
        <w:t xml:space="preserve">  (člen výboru SVBJ) včetně data vkladu práva o převodu bytu do evidence nemovitostí, tj. den nabytí vlastnictví bytové jednotky (je uvedeno v razítku na smlouvě);</w:t>
      </w:r>
    </w:p>
    <w:p w:rsidR="001664A7" w:rsidRPr="00FB4176" w:rsidRDefault="001664A7" w:rsidP="001664A7">
      <w:pPr>
        <w:pStyle w:val="Odstavecseseznamem"/>
        <w:ind w:left="360"/>
        <w:jc w:val="both"/>
        <w:rPr>
          <w:rFonts w:ascii="Arial" w:hAnsi="Arial" w:cs="Arial"/>
        </w:rPr>
      </w:pPr>
    </w:p>
    <w:p w:rsidR="001664A7" w:rsidRPr="00FB4176" w:rsidRDefault="001664A7" w:rsidP="001664A7">
      <w:pPr>
        <w:pStyle w:val="Odstavecseseznamem"/>
        <w:numPr>
          <w:ilvl w:val="0"/>
          <w:numId w:val="25"/>
        </w:numPr>
        <w:suppressAutoHyphens w:val="0"/>
        <w:spacing w:line="240" w:lineRule="auto"/>
        <w:jc w:val="both"/>
        <w:rPr>
          <w:rFonts w:ascii="Arial" w:hAnsi="Arial" w:cs="Arial"/>
        </w:rPr>
      </w:pPr>
      <w:r w:rsidRPr="00FB4176">
        <w:rPr>
          <w:rFonts w:ascii="Arial" w:hAnsi="Arial" w:cs="Arial"/>
          <w:b/>
          <w:u w:val="single"/>
        </w:rPr>
        <w:t>nahlásit změnu vlastníka bytu pověřenému správci</w:t>
      </w:r>
      <w:r w:rsidRPr="00FB4176">
        <w:rPr>
          <w:rFonts w:ascii="Arial" w:hAnsi="Arial" w:cs="Arial"/>
        </w:rPr>
        <w:t xml:space="preserve"> – Správa nemovitostí Olomouc, a.s.; Irena </w:t>
      </w:r>
      <w:proofErr w:type="spellStart"/>
      <w:r w:rsidRPr="00FB4176">
        <w:rPr>
          <w:rFonts w:ascii="Arial" w:hAnsi="Arial" w:cs="Arial"/>
        </w:rPr>
        <w:t>Škrabišová</w:t>
      </w:r>
      <w:proofErr w:type="spellEnd"/>
      <w:r w:rsidRPr="00FB4176">
        <w:rPr>
          <w:rFonts w:ascii="Arial" w:hAnsi="Arial" w:cs="Arial"/>
        </w:rPr>
        <w:t xml:space="preserve"> – telefon 585 238 212; </w:t>
      </w:r>
      <w:hyperlink r:id="rId9" w:history="1">
        <w:r w:rsidRPr="00FB4176">
          <w:rPr>
            <w:rStyle w:val="Hypertextovodkaz"/>
            <w:rFonts w:ascii="Arial" w:hAnsi="Arial" w:cs="Arial"/>
          </w:rPr>
          <w:t xml:space="preserve">v.skrabisova@sno.cz </w:t>
        </w:r>
      </w:hyperlink>
      <w:r w:rsidRPr="00FB4176">
        <w:rPr>
          <w:rFonts w:ascii="Arial" w:hAnsi="Arial" w:cs="Arial"/>
        </w:rPr>
        <w:t xml:space="preserve">- </w:t>
      </w:r>
      <w:r w:rsidRPr="00FB4176">
        <w:rPr>
          <w:rFonts w:ascii="Arial" w:hAnsi="Arial" w:cs="Arial"/>
          <w:u w:val="single"/>
        </w:rPr>
        <w:t>včetně sdělení skutečností rozhodných pro rozúčtování služeb</w:t>
      </w:r>
      <w:r w:rsidRPr="00FB4176">
        <w:rPr>
          <w:rFonts w:ascii="Arial" w:hAnsi="Arial" w:cs="Arial"/>
        </w:rPr>
        <w:t xml:space="preserve"> spojených s bydlením;</w:t>
      </w:r>
    </w:p>
    <w:p w:rsidR="001664A7" w:rsidRPr="00FB4176" w:rsidRDefault="001664A7" w:rsidP="001664A7">
      <w:pPr>
        <w:pStyle w:val="Odstavecseseznamem"/>
        <w:jc w:val="both"/>
        <w:rPr>
          <w:rFonts w:ascii="Arial" w:hAnsi="Arial" w:cs="Arial"/>
        </w:rPr>
      </w:pPr>
    </w:p>
    <w:p w:rsidR="001664A7" w:rsidRPr="00FB4176" w:rsidRDefault="001664A7" w:rsidP="001664A7">
      <w:pPr>
        <w:pStyle w:val="Odstavecseseznamem"/>
        <w:numPr>
          <w:ilvl w:val="0"/>
          <w:numId w:val="25"/>
        </w:numPr>
        <w:suppressAutoHyphens w:val="0"/>
        <w:spacing w:line="240" w:lineRule="auto"/>
        <w:jc w:val="both"/>
        <w:rPr>
          <w:rFonts w:ascii="Arial" w:hAnsi="Arial" w:cs="Arial"/>
          <w:u w:val="single"/>
        </w:rPr>
      </w:pPr>
      <w:r w:rsidRPr="00FB4176">
        <w:rPr>
          <w:rFonts w:ascii="Arial" w:hAnsi="Arial" w:cs="Arial"/>
          <w:b/>
          <w:u w:val="single"/>
        </w:rPr>
        <w:t>starý a nový majitel bytu provede</w:t>
      </w:r>
      <w:r w:rsidRPr="00FB4176">
        <w:rPr>
          <w:rFonts w:ascii="Arial" w:hAnsi="Arial" w:cs="Arial"/>
          <w:u w:val="single"/>
        </w:rPr>
        <w:t xml:space="preserve"> společně </w:t>
      </w:r>
      <w:proofErr w:type="spellStart"/>
      <w:r w:rsidRPr="00FB4176">
        <w:rPr>
          <w:rFonts w:ascii="Arial" w:hAnsi="Arial" w:cs="Arial"/>
          <w:u w:val="single"/>
        </w:rPr>
        <w:t>odečty</w:t>
      </w:r>
      <w:proofErr w:type="spellEnd"/>
      <w:r w:rsidRPr="00FB4176">
        <w:rPr>
          <w:rFonts w:ascii="Arial" w:hAnsi="Arial" w:cs="Arial"/>
          <w:u w:val="single"/>
        </w:rPr>
        <w:t xml:space="preserve"> měřidel související s užíváním bytové jednotky k dohodnutému datu předání bytu</w:t>
      </w:r>
    </w:p>
    <w:p w:rsidR="001664A7" w:rsidRPr="00FB4176" w:rsidRDefault="001664A7" w:rsidP="001664A7">
      <w:pPr>
        <w:pStyle w:val="Odstavecseseznamem"/>
        <w:rPr>
          <w:rFonts w:ascii="Arial" w:hAnsi="Arial" w:cs="Arial"/>
          <w:u w:val="single"/>
        </w:rPr>
      </w:pPr>
    </w:p>
    <w:p w:rsidR="001664A7" w:rsidRPr="00FB4176" w:rsidRDefault="001664A7" w:rsidP="001664A7">
      <w:pPr>
        <w:pStyle w:val="Odstavecseseznamem"/>
        <w:ind w:left="360"/>
        <w:jc w:val="both"/>
        <w:rPr>
          <w:rFonts w:ascii="Arial" w:hAnsi="Arial" w:cs="Arial"/>
        </w:rPr>
      </w:pPr>
      <w:r w:rsidRPr="00FB4176">
        <w:rPr>
          <w:rFonts w:ascii="Arial" w:hAnsi="Arial" w:cs="Arial"/>
        </w:rPr>
        <w:t>– přepis plynu a elektrické energie musí být proveden změnou na příslušných institucích (je zcela v kompetenci vlastníka bytu);</w:t>
      </w:r>
    </w:p>
    <w:p w:rsidR="001664A7" w:rsidRPr="00FB4176" w:rsidRDefault="001664A7" w:rsidP="001664A7">
      <w:pPr>
        <w:pStyle w:val="Odstavecseseznamem"/>
        <w:ind w:left="360"/>
        <w:jc w:val="both"/>
        <w:rPr>
          <w:rFonts w:ascii="Arial" w:hAnsi="Arial" w:cs="Arial"/>
        </w:rPr>
      </w:pPr>
    </w:p>
    <w:p w:rsidR="001664A7" w:rsidRPr="00FB4176" w:rsidRDefault="001664A7" w:rsidP="001664A7">
      <w:pPr>
        <w:pStyle w:val="Odstavecseseznamem"/>
        <w:ind w:left="360"/>
        <w:jc w:val="both"/>
        <w:rPr>
          <w:rFonts w:ascii="Arial" w:hAnsi="Arial" w:cs="Arial"/>
        </w:rPr>
      </w:pPr>
      <w:r w:rsidRPr="00FB4176">
        <w:rPr>
          <w:rFonts w:ascii="Arial" w:hAnsi="Arial" w:cs="Arial"/>
        </w:rPr>
        <w:t xml:space="preserve">- stavy měřidel vody a měřičů tepla musí být doplněny do formuláře (příloha), který majitel bytu odevzdává neprodleně pověřenému správci a který je podkladem pro rozdělení nákladů na vytápění a spotřebu teplé a studené vody při ročním vyúčtování (společenství zajišťuje platby a vyúčtování těchto služeb). </w:t>
      </w:r>
      <w:r w:rsidRPr="00FB4176">
        <w:rPr>
          <w:rFonts w:ascii="Arial" w:hAnsi="Arial" w:cs="Arial"/>
          <w:sz w:val="20"/>
        </w:rPr>
        <w:t>Formulář doporučujeme vyhotovit 3x (starý majitel, nový majitel, pověřený správce).</w:t>
      </w:r>
    </w:p>
    <w:p w:rsidR="001664A7" w:rsidRPr="00FB4176" w:rsidRDefault="001664A7" w:rsidP="001664A7">
      <w:pPr>
        <w:jc w:val="both"/>
        <w:rPr>
          <w:rFonts w:ascii="Arial" w:hAnsi="Arial" w:cs="Arial"/>
        </w:rPr>
      </w:pPr>
    </w:p>
    <w:p w:rsidR="001664A7" w:rsidRPr="00FB4176" w:rsidRDefault="001664A7" w:rsidP="001664A7">
      <w:pPr>
        <w:jc w:val="both"/>
        <w:rPr>
          <w:rFonts w:ascii="Arial" w:hAnsi="Arial" w:cs="Arial"/>
        </w:rPr>
      </w:pPr>
    </w:p>
    <w:p w:rsidR="001664A7" w:rsidRPr="00FB4176" w:rsidRDefault="001664A7" w:rsidP="001664A7">
      <w:pPr>
        <w:jc w:val="both"/>
        <w:rPr>
          <w:rFonts w:ascii="Arial" w:hAnsi="Arial" w:cs="Arial"/>
        </w:rPr>
      </w:pPr>
    </w:p>
    <w:p w:rsidR="001664A7" w:rsidRPr="00FB4176" w:rsidRDefault="001664A7" w:rsidP="001664A7">
      <w:pPr>
        <w:jc w:val="both"/>
        <w:rPr>
          <w:rFonts w:ascii="Arial" w:hAnsi="Arial" w:cs="Arial"/>
        </w:rPr>
      </w:pPr>
    </w:p>
    <w:p w:rsidR="001664A7" w:rsidRPr="00FB4176" w:rsidRDefault="001664A7" w:rsidP="001664A7">
      <w:pPr>
        <w:jc w:val="both"/>
        <w:rPr>
          <w:rFonts w:ascii="Arial" w:hAnsi="Arial" w:cs="Arial"/>
        </w:rPr>
      </w:pPr>
    </w:p>
    <w:p w:rsidR="001664A7" w:rsidRPr="00FB4176" w:rsidRDefault="001664A7" w:rsidP="001664A7">
      <w:pPr>
        <w:jc w:val="both"/>
        <w:rPr>
          <w:rFonts w:ascii="Arial" w:hAnsi="Arial" w:cs="Arial"/>
        </w:rPr>
      </w:pPr>
      <w:r w:rsidRPr="00FB4176">
        <w:rPr>
          <w:rFonts w:ascii="Arial" w:hAnsi="Arial" w:cs="Arial"/>
        </w:rPr>
        <w:t xml:space="preserve">Související materiály o právech a povinnostech vlastníka bytu jsou zveřejněny na webové stránce společenství </w:t>
      </w:r>
      <w:hyperlink r:id="rId10" w:history="1">
        <w:r w:rsidRPr="00FB4176">
          <w:rPr>
            <w:rStyle w:val="Hypertextovodkaz"/>
            <w:rFonts w:ascii="Arial" w:hAnsi="Arial" w:cs="Arial"/>
          </w:rPr>
          <w:t>https://druzebni.webnode.cz</w:t>
        </w:r>
      </w:hyperlink>
      <w:r w:rsidRPr="00FB4176">
        <w:rPr>
          <w:rFonts w:ascii="Arial" w:hAnsi="Arial" w:cs="Arial"/>
        </w:rPr>
        <w:t>; například</w:t>
      </w:r>
    </w:p>
    <w:p w:rsidR="001664A7" w:rsidRPr="00FB4176" w:rsidRDefault="001664A7" w:rsidP="001664A7">
      <w:pPr>
        <w:pStyle w:val="Odstavecseseznamem"/>
        <w:numPr>
          <w:ilvl w:val="0"/>
          <w:numId w:val="26"/>
        </w:numPr>
        <w:suppressAutoHyphens w:val="0"/>
        <w:spacing w:line="240" w:lineRule="auto"/>
        <w:jc w:val="both"/>
        <w:rPr>
          <w:rFonts w:ascii="Arial" w:hAnsi="Arial" w:cs="Arial"/>
        </w:rPr>
      </w:pPr>
      <w:r w:rsidRPr="00FB4176">
        <w:rPr>
          <w:rFonts w:ascii="Arial" w:hAnsi="Arial" w:cs="Arial"/>
        </w:rPr>
        <w:t>Stanovy společenství ze dne 20.10.2016</w:t>
      </w:r>
    </w:p>
    <w:p w:rsidR="001664A7" w:rsidRPr="00FB4176" w:rsidRDefault="001664A7" w:rsidP="001664A7">
      <w:pPr>
        <w:pStyle w:val="Odstavecseseznamem"/>
        <w:numPr>
          <w:ilvl w:val="0"/>
          <w:numId w:val="26"/>
        </w:numPr>
        <w:suppressAutoHyphens w:val="0"/>
        <w:spacing w:line="240" w:lineRule="auto"/>
        <w:jc w:val="both"/>
        <w:rPr>
          <w:rFonts w:ascii="Arial" w:hAnsi="Arial" w:cs="Arial"/>
        </w:rPr>
      </w:pPr>
      <w:r w:rsidRPr="00FB4176">
        <w:rPr>
          <w:rFonts w:ascii="Arial" w:hAnsi="Arial" w:cs="Arial"/>
        </w:rPr>
        <w:t>Postup při poskytování služeb – zálohy, rozúčtování, vyúčtování – ze dne 17.10.2019</w:t>
      </w:r>
    </w:p>
    <w:p w:rsidR="001664A7" w:rsidRPr="00FB4176" w:rsidRDefault="001664A7" w:rsidP="001664A7">
      <w:pPr>
        <w:jc w:val="both"/>
        <w:rPr>
          <w:rFonts w:ascii="Arial" w:hAnsi="Arial" w:cs="Arial"/>
        </w:rPr>
      </w:pPr>
    </w:p>
    <w:p w:rsidR="001664A7" w:rsidRPr="00FB4176" w:rsidRDefault="001664A7" w:rsidP="001664A7">
      <w:pPr>
        <w:jc w:val="both"/>
        <w:rPr>
          <w:rFonts w:ascii="Arial" w:hAnsi="Arial" w:cs="Arial"/>
        </w:rPr>
      </w:pPr>
    </w:p>
    <w:p w:rsidR="001664A7" w:rsidRPr="00FB4176" w:rsidRDefault="001664A7" w:rsidP="001664A7">
      <w:pPr>
        <w:jc w:val="both"/>
        <w:rPr>
          <w:rFonts w:ascii="Arial" w:hAnsi="Arial" w:cs="Arial"/>
        </w:rPr>
      </w:pPr>
    </w:p>
    <w:p w:rsidR="001664A7" w:rsidRDefault="001664A7" w:rsidP="001664A7"/>
    <w:p w:rsidR="001664A7" w:rsidRDefault="001664A7" w:rsidP="001664A7"/>
    <w:p w:rsidR="001664A7" w:rsidRDefault="001664A7" w:rsidP="001664A7"/>
    <w:p w:rsidR="001664A7" w:rsidRDefault="001664A7" w:rsidP="001664A7"/>
    <w:p w:rsidR="001664A7" w:rsidRDefault="001664A7" w:rsidP="001664A7"/>
    <w:p w:rsidR="001664A7" w:rsidRDefault="001664A7" w:rsidP="001664A7"/>
    <w:p w:rsidR="001664A7" w:rsidRDefault="001664A7" w:rsidP="001664A7"/>
    <w:p w:rsidR="001664A7" w:rsidRDefault="001664A7" w:rsidP="001664A7"/>
    <w:tbl>
      <w:tblPr>
        <w:tblStyle w:val="Mkatabulky"/>
        <w:tblW w:w="0" w:type="auto"/>
        <w:tblLook w:val="04A0"/>
      </w:tblPr>
      <w:tblGrid>
        <w:gridCol w:w="9212"/>
      </w:tblGrid>
      <w:tr w:rsidR="001664A7" w:rsidTr="00AB2CA2">
        <w:tc>
          <w:tcPr>
            <w:tcW w:w="92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664A7" w:rsidRPr="008762E2" w:rsidRDefault="001664A7" w:rsidP="00AB2CA2">
            <w:pPr>
              <w:jc w:val="center"/>
              <w:rPr>
                <w:b/>
              </w:rPr>
            </w:pPr>
            <w:r w:rsidRPr="008762E2">
              <w:rPr>
                <w:b/>
                <w:sz w:val="28"/>
              </w:rPr>
              <w:t>Z</w:t>
            </w:r>
            <w:r>
              <w:rPr>
                <w:b/>
                <w:sz w:val="28"/>
              </w:rPr>
              <w:t>MĚNA  UŽIVATELE  BYTU</w:t>
            </w:r>
          </w:p>
        </w:tc>
      </w:tr>
    </w:tbl>
    <w:p w:rsidR="001664A7" w:rsidRDefault="001664A7" w:rsidP="001664A7"/>
    <w:p w:rsidR="001664A7" w:rsidRPr="008762E2" w:rsidRDefault="001664A7" w:rsidP="001664A7">
      <w:pPr>
        <w:rPr>
          <w:b/>
        </w:rPr>
      </w:pPr>
      <w:r w:rsidRPr="008762E2">
        <w:rPr>
          <w:b/>
        </w:rPr>
        <w:t>ÚDAJE O PŘEDÁVANÉM BYTU</w:t>
      </w:r>
    </w:p>
    <w:tbl>
      <w:tblPr>
        <w:tblStyle w:val="Mkatabulky"/>
        <w:tblW w:w="0" w:type="auto"/>
        <w:tblLook w:val="04A0"/>
      </w:tblPr>
      <w:tblGrid>
        <w:gridCol w:w="5716"/>
        <w:gridCol w:w="3496"/>
      </w:tblGrid>
      <w:tr w:rsidR="001664A7" w:rsidTr="00AB2CA2">
        <w:tc>
          <w:tcPr>
            <w:tcW w:w="5716" w:type="dxa"/>
            <w:tcBorders>
              <w:top w:val="double" w:sz="2" w:space="0" w:color="auto"/>
              <w:left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/>
          <w:p w:rsidR="001664A7" w:rsidRDefault="001664A7" w:rsidP="00AB2CA2">
            <w:r>
              <w:t>adresa objektu: Olomouc, Družební …….</w:t>
            </w:r>
          </w:p>
        </w:tc>
        <w:tc>
          <w:tcPr>
            <w:tcW w:w="3496" w:type="dxa"/>
            <w:tcBorders>
              <w:top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/>
          <w:p w:rsidR="001664A7" w:rsidRDefault="001664A7" w:rsidP="00AB2CA2">
            <w:r>
              <w:t>číslo bytu:</w:t>
            </w:r>
          </w:p>
        </w:tc>
      </w:tr>
      <w:tr w:rsidR="001664A7" w:rsidTr="00AB2CA2">
        <w:tc>
          <w:tcPr>
            <w:tcW w:w="9212" w:type="dxa"/>
            <w:gridSpan w:val="2"/>
            <w:tcBorders>
              <w:left w:val="double" w:sz="2" w:space="0" w:color="auto"/>
              <w:right w:val="double" w:sz="2" w:space="0" w:color="auto"/>
            </w:tcBorders>
          </w:tcPr>
          <w:p w:rsidR="001664A7" w:rsidRDefault="001664A7" w:rsidP="00AB2CA2">
            <w:pPr>
              <w:rPr>
                <w:sz w:val="20"/>
              </w:rPr>
            </w:pPr>
            <w:r w:rsidRPr="008A5F9F">
              <w:rPr>
                <w:sz w:val="20"/>
              </w:rPr>
              <w:t>správa objektu</w:t>
            </w:r>
            <w:r>
              <w:rPr>
                <w:sz w:val="20"/>
              </w:rPr>
              <w:t xml:space="preserve"> - </w:t>
            </w:r>
            <w:r w:rsidRPr="008762E2">
              <w:rPr>
                <w:sz w:val="20"/>
              </w:rPr>
              <w:t>Společenství vlastníků bytových jednotek, Olomouc, Družební 19</w:t>
            </w:r>
            <w:r>
              <w:rPr>
                <w:sz w:val="20"/>
              </w:rPr>
              <w:t xml:space="preserve">; </w:t>
            </w:r>
          </w:p>
          <w:p w:rsidR="001664A7" w:rsidRDefault="001664A7" w:rsidP="00AB2CA2">
            <w:r>
              <w:rPr>
                <w:sz w:val="20"/>
              </w:rPr>
              <w:t>pověřený správce – Správa nemovitostí Olomouc, a.s. Školní202/2, Olomouc</w:t>
            </w:r>
          </w:p>
        </w:tc>
      </w:tr>
      <w:tr w:rsidR="001664A7" w:rsidTr="00AB2CA2">
        <w:tc>
          <w:tcPr>
            <w:tcW w:w="9212" w:type="dxa"/>
            <w:gridSpan w:val="2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>
            <w:r>
              <w:t>Datum předání bytu:</w:t>
            </w:r>
          </w:p>
        </w:tc>
      </w:tr>
    </w:tbl>
    <w:p w:rsidR="001664A7" w:rsidRDefault="001664A7" w:rsidP="001664A7"/>
    <w:p w:rsidR="001664A7" w:rsidRDefault="001664A7" w:rsidP="001664A7">
      <w:r w:rsidRPr="008762E2">
        <w:rPr>
          <w:b/>
        </w:rPr>
        <w:t>PŘEDÁVAJÍCÍ UŽIVATEL</w:t>
      </w:r>
      <w:r>
        <w:t xml:space="preserve"> – stávající vlastník bytu</w:t>
      </w:r>
    </w:p>
    <w:tbl>
      <w:tblPr>
        <w:tblStyle w:val="Mkatabulky"/>
        <w:tblW w:w="0" w:type="auto"/>
        <w:tblLook w:val="04A0"/>
      </w:tblPr>
      <w:tblGrid>
        <w:gridCol w:w="3404"/>
        <w:gridCol w:w="2967"/>
        <w:gridCol w:w="2841"/>
      </w:tblGrid>
      <w:tr w:rsidR="001664A7" w:rsidTr="00AB2CA2">
        <w:tc>
          <w:tcPr>
            <w:tcW w:w="3404" w:type="dxa"/>
            <w:tcBorders>
              <w:top w:val="double" w:sz="2" w:space="0" w:color="auto"/>
              <w:left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>
            <w:pPr>
              <w:rPr>
                <w:sz w:val="20"/>
              </w:rPr>
            </w:pPr>
            <w:r w:rsidRPr="00F3513A">
              <w:rPr>
                <w:sz w:val="20"/>
              </w:rPr>
              <w:t>příjmení:</w:t>
            </w:r>
          </w:p>
          <w:p w:rsidR="001664A7" w:rsidRPr="00F3513A" w:rsidRDefault="001664A7" w:rsidP="00AB2CA2">
            <w:pPr>
              <w:rPr>
                <w:sz w:val="20"/>
              </w:rPr>
            </w:pPr>
          </w:p>
        </w:tc>
        <w:tc>
          <w:tcPr>
            <w:tcW w:w="2967" w:type="dxa"/>
            <w:tcBorders>
              <w:top w:val="double" w:sz="2" w:space="0" w:color="auto"/>
            </w:tcBorders>
            <w:shd w:val="clear" w:color="auto" w:fill="D9D9D9" w:themeFill="background1" w:themeFillShade="D9"/>
          </w:tcPr>
          <w:p w:rsidR="001664A7" w:rsidRPr="00F3513A" w:rsidRDefault="001664A7" w:rsidP="00AB2CA2">
            <w:pPr>
              <w:rPr>
                <w:sz w:val="20"/>
              </w:rPr>
            </w:pPr>
            <w:r w:rsidRPr="00F3513A">
              <w:rPr>
                <w:sz w:val="20"/>
              </w:rPr>
              <w:t>jméno:</w:t>
            </w:r>
          </w:p>
        </w:tc>
        <w:tc>
          <w:tcPr>
            <w:tcW w:w="2841" w:type="dxa"/>
            <w:tcBorders>
              <w:top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</w:tcPr>
          <w:p w:rsidR="001664A7" w:rsidRPr="00F3513A" w:rsidRDefault="001664A7" w:rsidP="00AB2CA2">
            <w:pPr>
              <w:rPr>
                <w:sz w:val="20"/>
              </w:rPr>
            </w:pPr>
            <w:r w:rsidRPr="00F3513A">
              <w:rPr>
                <w:sz w:val="20"/>
              </w:rPr>
              <w:t>titul:</w:t>
            </w:r>
          </w:p>
        </w:tc>
      </w:tr>
      <w:tr w:rsidR="001664A7" w:rsidTr="00AB2CA2">
        <w:tc>
          <w:tcPr>
            <w:tcW w:w="6371" w:type="dxa"/>
            <w:gridSpan w:val="2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>
            <w:pPr>
              <w:rPr>
                <w:sz w:val="20"/>
              </w:rPr>
            </w:pPr>
            <w:r w:rsidRPr="00F3513A">
              <w:rPr>
                <w:sz w:val="20"/>
              </w:rPr>
              <w:t>e-mail</w:t>
            </w:r>
            <w:r>
              <w:rPr>
                <w:sz w:val="20"/>
              </w:rPr>
              <w:t xml:space="preserve"> (či jiné spojení)</w:t>
            </w:r>
            <w:r w:rsidRPr="00F3513A">
              <w:rPr>
                <w:sz w:val="20"/>
              </w:rPr>
              <w:t>:</w:t>
            </w:r>
          </w:p>
          <w:p w:rsidR="001664A7" w:rsidRPr="00F3513A" w:rsidRDefault="001664A7" w:rsidP="00AB2CA2">
            <w:pPr>
              <w:rPr>
                <w:sz w:val="20"/>
              </w:rPr>
            </w:pPr>
          </w:p>
        </w:tc>
        <w:tc>
          <w:tcPr>
            <w:tcW w:w="2841" w:type="dxa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</w:tcPr>
          <w:p w:rsidR="001664A7" w:rsidRPr="00F3513A" w:rsidRDefault="001664A7" w:rsidP="00AB2CA2">
            <w:pPr>
              <w:rPr>
                <w:sz w:val="20"/>
              </w:rPr>
            </w:pPr>
            <w:r w:rsidRPr="00F3513A">
              <w:rPr>
                <w:sz w:val="20"/>
              </w:rPr>
              <w:t>telefon:</w:t>
            </w:r>
          </w:p>
        </w:tc>
      </w:tr>
    </w:tbl>
    <w:p w:rsidR="001664A7" w:rsidRDefault="001664A7" w:rsidP="001664A7"/>
    <w:p w:rsidR="001664A7" w:rsidRDefault="001664A7" w:rsidP="001664A7">
      <w:r w:rsidRPr="008762E2">
        <w:rPr>
          <w:b/>
        </w:rPr>
        <w:t>PŘEBÍRAJÍCÍ UŽIVATEL</w:t>
      </w:r>
      <w:r>
        <w:t xml:space="preserve"> – nový vlastník bytu</w:t>
      </w:r>
    </w:p>
    <w:tbl>
      <w:tblPr>
        <w:tblStyle w:val="Mkatabulky"/>
        <w:tblW w:w="0" w:type="auto"/>
        <w:tblLook w:val="04A0"/>
      </w:tblPr>
      <w:tblGrid>
        <w:gridCol w:w="3371"/>
        <w:gridCol w:w="3022"/>
        <w:gridCol w:w="2819"/>
      </w:tblGrid>
      <w:tr w:rsidR="001664A7" w:rsidTr="00AB2CA2">
        <w:tc>
          <w:tcPr>
            <w:tcW w:w="3371" w:type="dxa"/>
            <w:tcBorders>
              <w:top w:val="double" w:sz="2" w:space="0" w:color="auto"/>
              <w:left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>
            <w:pPr>
              <w:rPr>
                <w:sz w:val="20"/>
              </w:rPr>
            </w:pPr>
            <w:r>
              <w:rPr>
                <w:sz w:val="20"/>
              </w:rPr>
              <w:t>příjmení:</w:t>
            </w:r>
          </w:p>
          <w:p w:rsidR="001664A7" w:rsidRPr="00F3513A" w:rsidRDefault="001664A7" w:rsidP="00AB2CA2">
            <w:pPr>
              <w:rPr>
                <w:sz w:val="20"/>
              </w:rPr>
            </w:pPr>
          </w:p>
        </w:tc>
        <w:tc>
          <w:tcPr>
            <w:tcW w:w="3022" w:type="dxa"/>
            <w:tcBorders>
              <w:top w:val="double" w:sz="2" w:space="0" w:color="auto"/>
            </w:tcBorders>
            <w:shd w:val="clear" w:color="auto" w:fill="D9D9D9" w:themeFill="background1" w:themeFillShade="D9"/>
          </w:tcPr>
          <w:p w:rsidR="001664A7" w:rsidRPr="00F3513A" w:rsidRDefault="001664A7" w:rsidP="00AB2CA2">
            <w:pPr>
              <w:rPr>
                <w:sz w:val="20"/>
              </w:rPr>
            </w:pPr>
            <w:r>
              <w:rPr>
                <w:sz w:val="20"/>
              </w:rPr>
              <w:t>jméno:</w:t>
            </w:r>
          </w:p>
        </w:tc>
        <w:tc>
          <w:tcPr>
            <w:tcW w:w="2819" w:type="dxa"/>
            <w:tcBorders>
              <w:top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</w:tcPr>
          <w:p w:rsidR="001664A7" w:rsidRPr="00F3513A" w:rsidRDefault="001664A7" w:rsidP="00AB2CA2">
            <w:pPr>
              <w:rPr>
                <w:sz w:val="20"/>
              </w:rPr>
            </w:pPr>
            <w:r>
              <w:rPr>
                <w:sz w:val="20"/>
              </w:rPr>
              <w:t>titul:</w:t>
            </w:r>
          </w:p>
        </w:tc>
      </w:tr>
      <w:tr w:rsidR="001664A7" w:rsidTr="00AB2CA2">
        <w:tc>
          <w:tcPr>
            <w:tcW w:w="6393" w:type="dxa"/>
            <w:gridSpan w:val="2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>
            <w:pPr>
              <w:rPr>
                <w:sz w:val="20"/>
              </w:rPr>
            </w:pPr>
            <w:r>
              <w:rPr>
                <w:sz w:val="20"/>
              </w:rPr>
              <w:t>e-mail (či jiné spojení):</w:t>
            </w:r>
          </w:p>
          <w:p w:rsidR="001664A7" w:rsidRPr="00F3513A" w:rsidRDefault="001664A7" w:rsidP="00AB2CA2">
            <w:pPr>
              <w:rPr>
                <w:sz w:val="20"/>
              </w:rPr>
            </w:pPr>
          </w:p>
        </w:tc>
        <w:tc>
          <w:tcPr>
            <w:tcW w:w="2819" w:type="dxa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</w:tcPr>
          <w:p w:rsidR="001664A7" w:rsidRPr="00F3513A" w:rsidRDefault="001664A7" w:rsidP="00AB2CA2">
            <w:pPr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</w:tr>
    </w:tbl>
    <w:p w:rsidR="001664A7" w:rsidRDefault="001664A7" w:rsidP="001664A7"/>
    <w:p w:rsidR="001664A7" w:rsidRDefault="001664A7" w:rsidP="001664A7">
      <w:r w:rsidRPr="008762E2">
        <w:rPr>
          <w:b/>
        </w:rPr>
        <w:t>ODEČTENÉ  ÚDAJE  VODOMĚRŮ</w:t>
      </w:r>
      <w:r>
        <w:t xml:space="preserve"> (</w:t>
      </w:r>
      <w:r w:rsidRPr="008762E2">
        <w:rPr>
          <w:sz w:val="20"/>
        </w:rPr>
        <w:t>zkontrolujte neporušenost měřidel a plomb)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664A7" w:rsidTr="00AB2CA2">
        <w:tc>
          <w:tcPr>
            <w:tcW w:w="23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</w:tcPr>
          <w:p w:rsidR="001664A7" w:rsidRDefault="001664A7" w:rsidP="00AB2CA2">
            <w:r>
              <w:t>druh vodoměru</w:t>
            </w:r>
          </w:p>
        </w:tc>
        <w:tc>
          <w:tcPr>
            <w:tcW w:w="2303" w:type="dxa"/>
            <w:tcBorders>
              <w:top w:val="double" w:sz="2" w:space="0" w:color="auto"/>
              <w:bottom w:val="double" w:sz="2" w:space="0" w:color="auto"/>
            </w:tcBorders>
          </w:tcPr>
          <w:p w:rsidR="001664A7" w:rsidRDefault="001664A7" w:rsidP="00AB2CA2">
            <w:r>
              <w:t>výborní číslo</w:t>
            </w:r>
          </w:p>
        </w:tc>
        <w:tc>
          <w:tcPr>
            <w:tcW w:w="2303" w:type="dxa"/>
            <w:tcBorders>
              <w:top w:val="double" w:sz="2" w:space="0" w:color="auto"/>
              <w:bottom w:val="double" w:sz="2" w:space="0" w:color="auto"/>
            </w:tcBorders>
          </w:tcPr>
          <w:p w:rsidR="001664A7" w:rsidRPr="008A5F9F" w:rsidRDefault="001664A7" w:rsidP="00AB2CA2">
            <w:r>
              <w:t>stav 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303" w:type="dxa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664A7" w:rsidRDefault="001664A7" w:rsidP="00AB2CA2">
            <w:r>
              <w:t>poznámka</w:t>
            </w:r>
          </w:p>
        </w:tc>
      </w:tr>
      <w:tr w:rsidR="001664A7" w:rsidTr="00AB2CA2">
        <w:tc>
          <w:tcPr>
            <w:tcW w:w="2303" w:type="dxa"/>
            <w:tcBorders>
              <w:top w:val="double" w:sz="2" w:space="0" w:color="auto"/>
              <w:left w:val="double" w:sz="2" w:space="0" w:color="auto"/>
            </w:tcBorders>
          </w:tcPr>
          <w:p w:rsidR="001664A7" w:rsidRDefault="001664A7" w:rsidP="00AB2CA2">
            <w:r>
              <w:t xml:space="preserve">TV </w:t>
            </w:r>
            <w:r w:rsidRPr="008A5F9F">
              <w:rPr>
                <w:sz w:val="20"/>
              </w:rPr>
              <w:t>(teplá voda)</w:t>
            </w:r>
          </w:p>
        </w:tc>
        <w:tc>
          <w:tcPr>
            <w:tcW w:w="2303" w:type="dxa"/>
            <w:tcBorders>
              <w:top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/>
        </w:tc>
        <w:tc>
          <w:tcPr>
            <w:tcW w:w="2303" w:type="dxa"/>
            <w:tcBorders>
              <w:top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/>
        </w:tc>
        <w:tc>
          <w:tcPr>
            <w:tcW w:w="2303" w:type="dxa"/>
            <w:tcBorders>
              <w:top w:val="double" w:sz="2" w:space="0" w:color="auto"/>
              <w:right w:val="double" w:sz="2" w:space="0" w:color="auto"/>
            </w:tcBorders>
          </w:tcPr>
          <w:p w:rsidR="001664A7" w:rsidRDefault="001664A7" w:rsidP="00AB2CA2"/>
        </w:tc>
      </w:tr>
      <w:tr w:rsidR="001664A7" w:rsidTr="00AB2CA2">
        <w:tc>
          <w:tcPr>
            <w:tcW w:w="2303" w:type="dxa"/>
            <w:tcBorders>
              <w:left w:val="double" w:sz="2" w:space="0" w:color="auto"/>
              <w:bottom w:val="double" w:sz="2" w:space="0" w:color="auto"/>
            </w:tcBorders>
          </w:tcPr>
          <w:p w:rsidR="001664A7" w:rsidRDefault="001664A7" w:rsidP="00AB2CA2">
            <w:r>
              <w:t xml:space="preserve">SV </w:t>
            </w:r>
            <w:r w:rsidRPr="008A5F9F">
              <w:rPr>
                <w:sz w:val="20"/>
              </w:rPr>
              <w:t>(studená voda)</w:t>
            </w:r>
          </w:p>
        </w:tc>
        <w:tc>
          <w:tcPr>
            <w:tcW w:w="2303" w:type="dxa"/>
            <w:tcBorders>
              <w:bottom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/>
        </w:tc>
        <w:tc>
          <w:tcPr>
            <w:tcW w:w="2303" w:type="dxa"/>
            <w:tcBorders>
              <w:bottom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/>
        </w:tc>
        <w:tc>
          <w:tcPr>
            <w:tcW w:w="2303" w:type="dxa"/>
            <w:tcBorders>
              <w:bottom w:val="double" w:sz="2" w:space="0" w:color="auto"/>
              <w:right w:val="double" w:sz="2" w:space="0" w:color="auto"/>
            </w:tcBorders>
          </w:tcPr>
          <w:p w:rsidR="001664A7" w:rsidRDefault="001664A7" w:rsidP="00AB2CA2"/>
        </w:tc>
      </w:tr>
    </w:tbl>
    <w:p w:rsidR="001664A7" w:rsidRDefault="001664A7" w:rsidP="001664A7"/>
    <w:p w:rsidR="001664A7" w:rsidRPr="008762E2" w:rsidRDefault="001664A7" w:rsidP="001664A7">
      <w:pPr>
        <w:rPr>
          <w:sz w:val="20"/>
        </w:rPr>
      </w:pPr>
      <w:r w:rsidRPr="008762E2">
        <w:rPr>
          <w:b/>
        </w:rPr>
        <w:t>ODEČTENÉ  ÚDAJE  INDIKÁTORŮ, MĚŘIČŮ TEPLA</w:t>
      </w:r>
      <w:r>
        <w:t xml:space="preserve"> </w:t>
      </w:r>
      <w:r w:rsidRPr="008762E2">
        <w:rPr>
          <w:sz w:val="20"/>
        </w:rPr>
        <w:t>(zkontrolujte neporušenost měřidel a plomb)</w:t>
      </w:r>
    </w:p>
    <w:p w:rsidR="001664A7" w:rsidRPr="008762E2" w:rsidRDefault="001664A7" w:rsidP="001664A7">
      <w:pPr>
        <w:rPr>
          <w:sz w:val="20"/>
        </w:rPr>
      </w:pPr>
      <w:r w:rsidRPr="008762E2">
        <w:rPr>
          <w:sz w:val="20"/>
        </w:rPr>
        <w:t>Při odečtu dodržujte „pravidlo levé ruky“, tedy odečet pokoje zleva od vstupních dveří do bytu</w:t>
      </w:r>
      <w:r>
        <w:rPr>
          <w:sz w:val="20"/>
        </w:rPr>
        <w:t>.</w:t>
      </w:r>
    </w:p>
    <w:tbl>
      <w:tblPr>
        <w:tblStyle w:val="Mkatabulky"/>
        <w:tblW w:w="0" w:type="auto"/>
        <w:tblLook w:val="04A0"/>
      </w:tblPr>
      <w:tblGrid>
        <w:gridCol w:w="2303"/>
        <w:gridCol w:w="1633"/>
        <w:gridCol w:w="2693"/>
        <w:gridCol w:w="2583"/>
      </w:tblGrid>
      <w:tr w:rsidR="001664A7" w:rsidTr="00AB2CA2">
        <w:tc>
          <w:tcPr>
            <w:tcW w:w="23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</w:tcPr>
          <w:p w:rsidR="001664A7" w:rsidRDefault="001664A7" w:rsidP="00AB2CA2">
            <w:r>
              <w:t>místnost</w:t>
            </w:r>
          </w:p>
        </w:tc>
        <w:tc>
          <w:tcPr>
            <w:tcW w:w="1633" w:type="dxa"/>
            <w:tcBorders>
              <w:top w:val="double" w:sz="2" w:space="0" w:color="auto"/>
              <w:bottom w:val="double" w:sz="2" w:space="0" w:color="auto"/>
            </w:tcBorders>
          </w:tcPr>
          <w:p w:rsidR="001664A7" w:rsidRDefault="001664A7" w:rsidP="00AB2CA2">
            <w:r>
              <w:t>výrobní číslo</w:t>
            </w:r>
          </w:p>
        </w:tc>
        <w:tc>
          <w:tcPr>
            <w:tcW w:w="2693" w:type="dxa"/>
            <w:tcBorders>
              <w:top w:val="double" w:sz="2" w:space="0" w:color="auto"/>
              <w:bottom w:val="double" w:sz="2" w:space="0" w:color="auto"/>
            </w:tcBorders>
          </w:tcPr>
          <w:p w:rsidR="001664A7" w:rsidRDefault="001664A7" w:rsidP="00AB2CA2">
            <w:r>
              <w:t>stav A, aktuální období (jeden stisk tlačítka)</w:t>
            </w:r>
          </w:p>
        </w:tc>
        <w:tc>
          <w:tcPr>
            <w:tcW w:w="2583" w:type="dxa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664A7" w:rsidRDefault="001664A7" w:rsidP="00AB2CA2">
            <w:r>
              <w:t xml:space="preserve">stav M </w:t>
            </w:r>
          </w:p>
          <w:p w:rsidR="001664A7" w:rsidRDefault="001664A7" w:rsidP="00AB2CA2">
            <w:r>
              <w:t>(symbol SM)</w:t>
            </w:r>
          </w:p>
        </w:tc>
      </w:tr>
      <w:tr w:rsidR="001664A7" w:rsidTr="00AB2CA2">
        <w:tc>
          <w:tcPr>
            <w:tcW w:w="2303" w:type="dxa"/>
            <w:tcBorders>
              <w:top w:val="double" w:sz="2" w:space="0" w:color="auto"/>
              <w:left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/>
        </w:tc>
        <w:tc>
          <w:tcPr>
            <w:tcW w:w="1633" w:type="dxa"/>
            <w:tcBorders>
              <w:top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/>
        </w:tc>
        <w:tc>
          <w:tcPr>
            <w:tcW w:w="2693" w:type="dxa"/>
            <w:tcBorders>
              <w:top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/>
        </w:tc>
        <w:tc>
          <w:tcPr>
            <w:tcW w:w="2583" w:type="dxa"/>
            <w:tcBorders>
              <w:top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/>
        </w:tc>
      </w:tr>
      <w:tr w:rsidR="001664A7" w:rsidTr="00AB2CA2">
        <w:tc>
          <w:tcPr>
            <w:tcW w:w="2303" w:type="dxa"/>
            <w:tcBorders>
              <w:left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/>
        </w:tc>
        <w:tc>
          <w:tcPr>
            <w:tcW w:w="1633" w:type="dxa"/>
            <w:shd w:val="clear" w:color="auto" w:fill="D9D9D9" w:themeFill="background1" w:themeFillShade="D9"/>
          </w:tcPr>
          <w:p w:rsidR="001664A7" w:rsidRDefault="001664A7" w:rsidP="00AB2CA2"/>
        </w:tc>
        <w:tc>
          <w:tcPr>
            <w:tcW w:w="2693" w:type="dxa"/>
            <w:shd w:val="clear" w:color="auto" w:fill="D9D9D9" w:themeFill="background1" w:themeFillShade="D9"/>
          </w:tcPr>
          <w:p w:rsidR="001664A7" w:rsidRDefault="001664A7" w:rsidP="00AB2CA2"/>
        </w:tc>
        <w:tc>
          <w:tcPr>
            <w:tcW w:w="2583" w:type="dxa"/>
            <w:tcBorders>
              <w:right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/>
        </w:tc>
      </w:tr>
      <w:tr w:rsidR="001664A7" w:rsidTr="00AB2CA2">
        <w:tc>
          <w:tcPr>
            <w:tcW w:w="2303" w:type="dxa"/>
            <w:tcBorders>
              <w:left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/>
        </w:tc>
        <w:tc>
          <w:tcPr>
            <w:tcW w:w="1633" w:type="dxa"/>
            <w:shd w:val="clear" w:color="auto" w:fill="D9D9D9" w:themeFill="background1" w:themeFillShade="D9"/>
          </w:tcPr>
          <w:p w:rsidR="001664A7" w:rsidRDefault="001664A7" w:rsidP="00AB2CA2"/>
        </w:tc>
        <w:tc>
          <w:tcPr>
            <w:tcW w:w="2693" w:type="dxa"/>
            <w:shd w:val="clear" w:color="auto" w:fill="D9D9D9" w:themeFill="background1" w:themeFillShade="D9"/>
          </w:tcPr>
          <w:p w:rsidR="001664A7" w:rsidRDefault="001664A7" w:rsidP="00AB2CA2"/>
        </w:tc>
        <w:tc>
          <w:tcPr>
            <w:tcW w:w="2583" w:type="dxa"/>
            <w:tcBorders>
              <w:right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/>
        </w:tc>
      </w:tr>
      <w:tr w:rsidR="001664A7" w:rsidTr="00AB2CA2">
        <w:tc>
          <w:tcPr>
            <w:tcW w:w="2303" w:type="dxa"/>
            <w:tcBorders>
              <w:left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/>
        </w:tc>
        <w:tc>
          <w:tcPr>
            <w:tcW w:w="1633" w:type="dxa"/>
            <w:shd w:val="clear" w:color="auto" w:fill="D9D9D9" w:themeFill="background1" w:themeFillShade="D9"/>
          </w:tcPr>
          <w:p w:rsidR="001664A7" w:rsidRDefault="001664A7" w:rsidP="00AB2CA2"/>
        </w:tc>
        <w:tc>
          <w:tcPr>
            <w:tcW w:w="2693" w:type="dxa"/>
            <w:shd w:val="clear" w:color="auto" w:fill="D9D9D9" w:themeFill="background1" w:themeFillShade="D9"/>
          </w:tcPr>
          <w:p w:rsidR="001664A7" w:rsidRDefault="001664A7" w:rsidP="00AB2CA2"/>
        </w:tc>
        <w:tc>
          <w:tcPr>
            <w:tcW w:w="2583" w:type="dxa"/>
            <w:tcBorders>
              <w:right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/>
        </w:tc>
      </w:tr>
      <w:tr w:rsidR="001664A7" w:rsidTr="00AB2CA2">
        <w:tc>
          <w:tcPr>
            <w:tcW w:w="2303" w:type="dxa"/>
            <w:tcBorders>
              <w:left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/>
        </w:tc>
        <w:tc>
          <w:tcPr>
            <w:tcW w:w="1633" w:type="dxa"/>
            <w:shd w:val="clear" w:color="auto" w:fill="D9D9D9" w:themeFill="background1" w:themeFillShade="D9"/>
          </w:tcPr>
          <w:p w:rsidR="001664A7" w:rsidRDefault="001664A7" w:rsidP="00AB2CA2"/>
        </w:tc>
        <w:tc>
          <w:tcPr>
            <w:tcW w:w="2693" w:type="dxa"/>
            <w:shd w:val="clear" w:color="auto" w:fill="D9D9D9" w:themeFill="background1" w:themeFillShade="D9"/>
          </w:tcPr>
          <w:p w:rsidR="001664A7" w:rsidRDefault="001664A7" w:rsidP="00AB2CA2"/>
        </w:tc>
        <w:tc>
          <w:tcPr>
            <w:tcW w:w="2583" w:type="dxa"/>
            <w:tcBorders>
              <w:right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/>
        </w:tc>
      </w:tr>
      <w:tr w:rsidR="001664A7" w:rsidTr="00AB2CA2">
        <w:tc>
          <w:tcPr>
            <w:tcW w:w="2303" w:type="dxa"/>
            <w:tcBorders>
              <w:left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/>
        </w:tc>
        <w:tc>
          <w:tcPr>
            <w:tcW w:w="1633" w:type="dxa"/>
            <w:shd w:val="clear" w:color="auto" w:fill="D9D9D9" w:themeFill="background1" w:themeFillShade="D9"/>
          </w:tcPr>
          <w:p w:rsidR="001664A7" w:rsidRDefault="001664A7" w:rsidP="00AB2CA2"/>
        </w:tc>
        <w:tc>
          <w:tcPr>
            <w:tcW w:w="2693" w:type="dxa"/>
            <w:shd w:val="clear" w:color="auto" w:fill="D9D9D9" w:themeFill="background1" w:themeFillShade="D9"/>
          </w:tcPr>
          <w:p w:rsidR="001664A7" w:rsidRDefault="001664A7" w:rsidP="00AB2CA2"/>
        </w:tc>
        <w:tc>
          <w:tcPr>
            <w:tcW w:w="2583" w:type="dxa"/>
            <w:tcBorders>
              <w:right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/>
        </w:tc>
      </w:tr>
      <w:tr w:rsidR="001664A7" w:rsidTr="00AB2CA2">
        <w:tc>
          <w:tcPr>
            <w:tcW w:w="2303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/>
        </w:tc>
        <w:tc>
          <w:tcPr>
            <w:tcW w:w="1633" w:type="dxa"/>
            <w:tcBorders>
              <w:bottom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/>
        </w:tc>
        <w:tc>
          <w:tcPr>
            <w:tcW w:w="2693" w:type="dxa"/>
            <w:tcBorders>
              <w:bottom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/>
        </w:tc>
        <w:tc>
          <w:tcPr>
            <w:tcW w:w="2583" w:type="dxa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</w:tcPr>
          <w:p w:rsidR="001664A7" w:rsidRDefault="001664A7" w:rsidP="00AB2CA2"/>
        </w:tc>
      </w:tr>
    </w:tbl>
    <w:p w:rsidR="001664A7" w:rsidRDefault="001664A7" w:rsidP="001664A7"/>
    <w:p w:rsidR="001664A7" w:rsidRPr="0020428D" w:rsidRDefault="001664A7" w:rsidP="001664A7">
      <w:pPr>
        <w:jc w:val="both"/>
        <w:rPr>
          <w:sz w:val="20"/>
        </w:rPr>
      </w:pPr>
      <w:r w:rsidRPr="0020428D">
        <w:rPr>
          <w:sz w:val="20"/>
        </w:rPr>
        <w:t>Tento řádně vyplněný a podepsaný protokol je základem pro rozdělení nákladů na vytápění (ÚT), spotřebu teplé vody (TV) a studené vody (SV) mezi předávajícím a přebírajícím uživatelem bytu.</w:t>
      </w:r>
    </w:p>
    <w:p w:rsidR="001664A7" w:rsidRPr="0020428D" w:rsidRDefault="001664A7" w:rsidP="001664A7">
      <w:pPr>
        <w:jc w:val="both"/>
        <w:rPr>
          <w:sz w:val="20"/>
        </w:rPr>
      </w:pPr>
      <w:r w:rsidRPr="0020428D">
        <w:rPr>
          <w:sz w:val="20"/>
        </w:rPr>
        <w:t>Datum předání bytu je důležité pro rozdělení platby za ÚT a vodu, proto dbejte na jeho řádné vyplnění.</w:t>
      </w:r>
    </w:p>
    <w:p w:rsidR="001664A7" w:rsidRPr="0020428D" w:rsidRDefault="001664A7" w:rsidP="001664A7">
      <w:pPr>
        <w:jc w:val="both"/>
        <w:rPr>
          <w:sz w:val="20"/>
        </w:rPr>
      </w:pPr>
    </w:p>
    <w:p w:rsidR="001664A7" w:rsidRDefault="001664A7" w:rsidP="001664A7">
      <w:pPr>
        <w:jc w:val="both"/>
      </w:pPr>
      <w:r w:rsidRPr="0020428D">
        <w:rPr>
          <w:sz w:val="20"/>
        </w:rPr>
        <w:t>Přebírající uživatel bytu přebírá uvedené měřidla (vodoměry, indikátory, měřiče tepla)</w:t>
      </w:r>
      <w:r>
        <w:t xml:space="preserve"> </w:t>
      </w:r>
      <w:r w:rsidRPr="00E14265">
        <w:rPr>
          <w:sz w:val="20"/>
        </w:rPr>
        <w:t xml:space="preserve">a svým </w:t>
      </w:r>
      <w:r w:rsidRPr="0020428D">
        <w:rPr>
          <w:sz w:val="20"/>
        </w:rPr>
        <w:t>podpisem potvrzuje, že jejich stav odpovídá popisu v tomto protokolu.</w:t>
      </w:r>
    </w:p>
    <w:p w:rsidR="001664A7" w:rsidRDefault="001664A7" w:rsidP="001664A7"/>
    <w:p w:rsidR="001664A7" w:rsidRDefault="001664A7" w:rsidP="001664A7">
      <w:pPr>
        <w:shd w:val="clear" w:color="auto" w:fill="D9D9D9" w:themeFill="background1" w:themeFillShade="D9"/>
      </w:pPr>
      <w:r>
        <w:t>…………………   ……………………………. ……………………..  ………………….</w:t>
      </w:r>
    </w:p>
    <w:p w:rsidR="001664A7" w:rsidRDefault="001664A7" w:rsidP="001664A7">
      <w:pPr>
        <w:rPr>
          <w:sz w:val="20"/>
        </w:rPr>
      </w:pPr>
      <w:r w:rsidRPr="008762E2">
        <w:rPr>
          <w:sz w:val="20"/>
        </w:rPr>
        <w:t xml:space="preserve">datum                        podpis předávajícího         </w:t>
      </w:r>
      <w:r>
        <w:rPr>
          <w:sz w:val="20"/>
        </w:rPr>
        <w:t xml:space="preserve">        </w:t>
      </w:r>
      <w:r w:rsidRPr="008762E2">
        <w:rPr>
          <w:sz w:val="20"/>
        </w:rPr>
        <w:t xml:space="preserve">podpis přebírajícího  </w:t>
      </w:r>
      <w:r>
        <w:rPr>
          <w:sz w:val="20"/>
        </w:rPr>
        <w:t xml:space="preserve">     pověřený </w:t>
      </w:r>
      <w:r w:rsidRPr="008762E2">
        <w:rPr>
          <w:sz w:val="20"/>
        </w:rPr>
        <w:t>správce</w:t>
      </w:r>
    </w:p>
    <w:p w:rsidR="001664A7" w:rsidRDefault="001664A7" w:rsidP="001664A7">
      <w:pPr>
        <w:rPr>
          <w:sz w:val="20"/>
        </w:rPr>
      </w:pPr>
    </w:p>
    <w:tbl>
      <w:tblPr>
        <w:tblStyle w:val="Mkatabulky"/>
        <w:tblW w:w="0" w:type="auto"/>
        <w:tblLook w:val="04A0"/>
      </w:tblPr>
      <w:tblGrid>
        <w:gridCol w:w="371"/>
        <w:gridCol w:w="8841"/>
      </w:tblGrid>
      <w:tr w:rsidR="001664A7" w:rsidTr="00AB2CA2">
        <w:tc>
          <w:tcPr>
            <w:tcW w:w="371" w:type="dxa"/>
            <w:shd w:val="clear" w:color="auto" w:fill="D9D9D9" w:themeFill="background1" w:themeFillShade="D9"/>
          </w:tcPr>
          <w:p w:rsidR="001664A7" w:rsidRDefault="001664A7" w:rsidP="00AB2CA2">
            <w:pPr>
              <w:rPr>
                <w:sz w:val="20"/>
              </w:rPr>
            </w:pPr>
          </w:p>
        </w:tc>
        <w:tc>
          <w:tcPr>
            <w:tcW w:w="8841" w:type="dxa"/>
            <w:tcBorders>
              <w:top w:val="nil"/>
              <w:bottom w:val="nil"/>
              <w:right w:val="nil"/>
            </w:tcBorders>
          </w:tcPr>
          <w:p w:rsidR="001664A7" w:rsidRDefault="001664A7" w:rsidP="00AB2CA2">
            <w:pPr>
              <w:rPr>
                <w:sz w:val="20"/>
              </w:rPr>
            </w:pPr>
            <w:r>
              <w:rPr>
                <w:sz w:val="20"/>
              </w:rPr>
              <w:t>vyplňte označené řádky</w:t>
            </w:r>
          </w:p>
        </w:tc>
      </w:tr>
    </w:tbl>
    <w:p w:rsidR="001664A7" w:rsidRPr="008762E2" w:rsidRDefault="001664A7" w:rsidP="001664A7">
      <w:pPr>
        <w:rPr>
          <w:sz w:val="20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422732" w:rsidRDefault="00FB4176" w:rsidP="00422732">
      <w:pPr>
        <w:jc w:val="both"/>
        <w:rPr>
          <w:rFonts w:cs="Arial"/>
          <w:color w:val="000000"/>
          <w:lang w:eastAsia="cs-CZ"/>
        </w:rPr>
      </w:pPr>
      <w:r>
        <w:rPr>
          <w:rFonts w:cs="Arial"/>
          <w:b/>
          <w:color w:val="000000"/>
          <w:sz w:val="32"/>
          <w:szCs w:val="28"/>
          <w:lang w:eastAsia="cs-CZ"/>
        </w:rPr>
        <w:t>Postup p</w:t>
      </w:r>
      <w:r w:rsidR="00422732" w:rsidRPr="00E42648">
        <w:rPr>
          <w:rFonts w:cs="Arial"/>
          <w:b/>
          <w:color w:val="000000"/>
          <w:sz w:val="32"/>
          <w:szCs w:val="28"/>
          <w:lang w:eastAsia="cs-CZ"/>
        </w:rPr>
        <w:t>ři výměně či odstranění topení</w:t>
      </w:r>
      <w:r w:rsidR="00422732" w:rsidRPr="00E42648">
        <w:rPr>
          <w:rFonts w:cs="Arial"/>
          <w:color w:val="000000"/>
          <w:sz w:val="28"/>
          <w:lang w:eastAsia="cs-CZ"/>
        </w:rPr>
        <w:t xml:space="preserve"> </w:t>
      </w:r>
    </w:p>
    <w:p w:rsidR="00422732" w:rsidRPr="00E42648" w:rsidRDefault="00422732" w:rsidP="00422732">
      <w:pPr>
        <w:jc w:val="both"/>
        <w:rPr>
          <w:rFonts w:cs="Arial"/>
          <w:color w:val="000000"/>
          <w:lang w:eastAsia="cs-CZ"/>
        </w:rPr>
      </w:pPr>
      <w:r w:rsidRPr="00E42648">
        <w:rPr>
          <w:rFonts w:cs="Arial"/>
          <w:color w:val="000000"/>
          <w:lang w:eastAsia="cs-CZ"/>
        </w:rPr>
        <w:t xml:space="preserve">prosím postupujte následujícím způsobem (informace od firmy </w:t>
      </w:r>
      <w:proofErr w:type="spellStart"/>
      <w:r w:rsidRPr="00E42648">
        <w:rPr>
          <w:rFonts w:cs="Arial"/>
          <w:color w:val="000000"/>
          <w:lang w:eastAsia="cs-CZ"/>
        </w:rPr>
        <w:t>Tököly</w:t>
      </w:r>
      <w:proofErr w:type="spellEnd"/>
      <w:r w:rsidRPr="00E42648">
        <w:rPr>
          <w:rFonts w:cs="Arial"/>
          <w:color w:val="000000"/>
          <w:lang w:eastAsia="cs-CZ"/>
        </w:rPr>
        <w:t>):</w:t>
      </w:r>
    </w:p>
    <w:p w:rsidR="00422732" w:rsidRPr="00E42648" w:rsidRDefault="00422732" w:rsidP="00422732">
      <w:pPr>
        <w:jc w:val="both"/>
        <w:rPr>
          <w:rFonts w:cs="Arial"/>
          <w:color w:val="000000"/>
          <w:lang w:eastAsia="cs-CZ"/>
        </w:rPr>
      </w:pPr>
    </w:p>
    <w:p w:rsidR="00422732" w:rsidRDefault="00422732" w:rsidP="00422732">
      <w:pPr>
        <w:jc w:val="both"/>
        <w:rPr>
          <w:rFonts w:cs="Arial"/>
          <w:b/>
          <w:bCs/>
          <w:i/>
          <w:iCs/>
          <w:color w:val="000000"/>
          <w:shd w:val="clear" w:color="auto" w:fill="FFFFFF"/>
          <w:lang w:eastAsia="cs-CZ"/>
        </w:rPr>
      </w:pPr>
      <w:r w:rsidRPr="00E42648">
        <w:rPr>
          <w:rFonts w:cs="Arial"/>
          <w:b/>
          <w:bCs/>
          <w:i/>
          <w:iCs/>
          <w:color w:val="000000"/>
          <w:shd w:val="clear" w:color="auto" w:fill="FFFFFF"/>
          <w:lang w:eastAsia="cs-CZ"/>
        </w:rPr>
        <w:t xml:space="preserve">"V případě demontáže topného tělesa je třeba na číslo </w:t>
      </w:r>
      <w:r w:rsidRPr="00E42648">
        <w:rPr>
          <w:rFonts w:cs="Arial"/>
          <w:b/>
          <w:bCs/>
          <w:i/>
          <w:iCs/>
          <w:color w:val="000000"/>
          <w:sz w:val="32"/>
          <w:shd w:val="clear" w:color="auto" w:fill="FFFFFF"/>
          <w:lang w:eastAsia="cs-CZ"/>
        </w:rPr>
        <w:t>728940990</w:t>
      </w:r>
      <w:r w:rsidRPr="00E42648">
        <w:rPr>
          <w:rFonts w:cs="Arial"/>
          <w:b/>
          <w:bCs/>
          <w:i/>
          <w:iCs/>
          <w:color w:val="000000"/>
          <w:shd w:val="clear" w:color="auto" w:fill="FFFFFF"/>
          <w:lang w:eastAsia="cs-CZ"/>
        </w:rPr>
        <w:t xml:space="preserve"> nahlásit dopředu záměr. Znát přibližný termín. Následně uložit těleso například do sklepa. </w:t>
      </w:r>
      <w:r>
        <w:rPr>
          <w:rFonts w:cs="Arial"/>
          <w:b/>
          <w:bCs/>
          <w:i/>
          <w:iCs/>
          <w:color w:val="000000"/>
          <w:shd w:val="clear" w:color="auto" w:fill="FFFFFF"/>
          <w:lang w:eastAsia="cs-CZ"/>
        </w:rPr>
        <w:t xml:space="preserve">Přijede </w:t>
      </w:r>
      <w:r w:rsidRPr="00E42648">
        <w:rPr>
          <w:rFonts w:cs="Arial"/>
          <w:b/>
          <w:bCs/>
          <w:i/>
          <w:iCs/>
          <w:color w:val="000000"/>
          <w:shd w:val="clear" w:color="auto" w:fill="FFFFFF"/>
          <w:lang w:eastAsia="cs-CZ"/>
        </w:rPr>
        <w:t xml:space="preserve">zástupce firmy </w:t>
      </w:r>
      <w:proofErr w:type="spellStart"/>
      <w:r w:rsidRPr="00E42648">
        <w:rPr>
          <w:rFonts w:cs="Arial"/>
          <w:b/>
          <w:bCs/>
          <w:i/>
          <w:iCs/>
          <w:color w:val="000000"/>
          <w:shd w:val="clear" w:color="auto" w:fill="FFFFFF"/>
          <w:lang w:eastAsia="cs-CZ"/>
        </w:rPr>
        <w:t>Tököly</w:t>
      </w:r>
      <w:proofErr w:type="spellEnd"/>
      <w:r w:rsidRPr="00E42648">
        <w:rPr>
          <w:rFonts w:cs="Arial"/>
          <w:b/>
          <w:bCs/>
          <w:i/>
          <w:iCs/>
          <w:color w:val="000000"/>
          <w:shd w:val="clear" w:color="auto" w:fill="FFFFFF"/>
          <w:lang w:eastAsia="cs-CZ"/>
        </w:rPr>
        <w:t xml:space="preserve">, která provádí </w:t>
      </w:r>
      <w:proofErr w:type="spellStart"/>
      <w:r w:rsidRPr="00E42648">
        <w:rPr>
          <w:rFonts w:cs="Arial"/>
          <w:b/>
          <w:bCs/>
          <w:i/>
          <w:iCs/>
          <w:color w:val="000000"/>
          <w:shd w:val="clear" w:color="auto" w:fill="FFFFFF"/>
          <w:lang w:eastAsia="cs-CZ"/>
        </w:rPr>
        <w:t>odečty</w:t>
      </w:r>
      <w:proofErr w:type="spellEnd"/>
      <w:r w:rsidRPr="00E42648">
        <w:rPr>
          <w:rFonts w:cs="Arial"/>
          <w:b/>
          <w:bCs/>
          <w:i/>
          <w:iCs/>
          <w:color w:val="000000"/>
          <w:shd w:val="clear" w:color="auto" w:fill="FFFFFF"/>
          <w:lang w:eastAsia="cs-CZ"/>
        </w:rPr>
        <w:t xml:space="preserve"> a propočty spotřeby tepla, demontuje</w:t>
      </w:r>
      <w:r>
        <w:rPr>
          <w:rFonts w:cs="Arial"/>
          <w:b/>
          <w:bCs/>
          <w:i/>
          <w:iCs/>
          <w:color w:val="000000"/>
          <w:shd w:val="clear" w:color="auto" w:fill="FFFFFF"/>
          <w:lang w:eastAsia="cs-CZ"/>
        </w:rPr>
        <w:t xml:space="preserve"> měřidlo</w:t>
      </w:r>
      <w:r w:rsidRPr="00E42648">
        <w:rPr>
          <w:rFonts w:cs="Arial"/>
          <w:b/>
          <w:bCs/>
          <w:i/>
          <w:iCs/>
          <w:color w:val="000000"/>
          <w:shd w:val="clear" w:color="auto" w:fill="FFFFFF"/>
          <w:lang w:eastAsia="cs-CZ"/>
        </w:rPr>
        <w:t>, zachytí stavy a náměr připočte k sousednímu otopnému tělesu (následně měřidlo ekologicky zlikviduje)</w:t>
      </w:r>
      <w:r>
        <w:rPr>
          <w:rFonts w:cs="Arial"/>
          <w:b/>
          <w:bCs/>
          <w:i/>
          <w:iCs/>
          <w:color w:val="000000"/>
          <w:shd w:val="clear" w:color="auto" w:fill="FFFFFF"/>
          <w:lang w:eastAsia="cs-CZ"/>
        </w:rPr>
        <w:t>a provede změny ve své evidenci</w:t>
      </w:r>
      <w:r w:rsidRPr="00E42648">
        <w:rPr>
          <w:rFonts w:cs="Arial"/>
          <w:b/>
          <w:bCs/>
          <w:i/>
          <w:iCs/>
          <w:color w:val="000000"/>
          <w:shd w:val="clear" w:color="auto" w:fill="FFFFFF"/>
          <w:lang w:eastAsia="cs-CZ"/>
        </w:rPr>
        <w:t xml:space="preserve">. </w:t>
      </w:r>
    </w:p>
    <w:p w:rsidR="00422732" w:rsidRDefault="00422732" w:rsidP="00422732">
      <w:pPr>
        <w:jc w:val="both"/>
        <w:rPr>
          <w:rFonts w:cs="Arial"/>
          <w:b/>
          <w:bCs/>
          <w:i/>
          <w:iCs/>
          <w:color w:val="000000"/>
          <w:shd w:val="clear" w:color="auto" w:fill="FFFFFF"/>
          <w:lang w:eastAsia="cs-CZ"/>
        </w:rPr>
      </w:pPr>
      <w:r w:rsidRPr="00E42648">
        <w:rPr>
          <w:rFonts w:cs="Arial"/>
          <w:b/>
          <w:bCs/>
          <w:i/>
          <w:iCs/>
          <w:color w:val="000000"/>
          <w:shd w:val="clear" w:color="auto" w:fill="FFFFFF"/>
          <w:lang w:eastAsia="cs-CZ"/>
        </w:rPr>
        <w:t>Hlavice je součástí otopného tělesa a zůstává majiteli bytu k sešrotování.</w:t>
      </w:r>
    </w:p>
    <w:p w:rsidR="00422732" w:rsidRDefault="00422732" w:rsidP="00422732">
      <w:pPr>
        <w:jc w:val="both"/>
        <w:rPr>
          <w:rFonts w:cs="Arial"/>
          <w:i/>
          <w:iCs/>
          <w:color w:val="000000"/>
          <w:shd w:val="clear" w:color="auto" w:fill="FFFFFF"/>
          <w:lang w:eastAsia="cs-CZ"/>
        </w:rPr>
      </w:pPr>
      <w:r w:rsidRPr="00E42648">
        <w:rPr>
          <w:rFonts w:cs="Arial"/>
          <w:i/>
          <w:iCs/>
          <w:color w:val="000000"/>
          <w:lang w:eastAsia="cs-CZ"/>
        </w:rPr>
        <w:br/>
      </w:r>
      <w:r w:rsidRPr="00E42648">
        <w:rPr>
          <w:rFonts w:cs="Arial"/>
          <w:i/>
          <w:iCs/>
          <w:color w:val="000000"/>
          <w:shd w:val="clear" w:color="auto" w:fill="FFFFFF"/>
          <w:lang w:eastAsia="cs-CZ"/>
        </w:rPr>
        <w:t xml:space="preserve">V případě výměny otopného tělesa je </w:t>
      </w:r>
      <w:r>
        <w:rPr>
          <w:rFonts w:cs="Arial"/>
          <w:i/>
          <w:iCs/>
          <w:color w:val="000000"/>
          <w:shd w:val="clear" w:color="auto" w:fill="FFFFFF"/>
          <w:lang w:eastAsia="cs-CZ"/>
        </w:rPr>
        <w:t xml:space="preserve">postup </w:t>
      </w:r>
      <w:r w:rsidRPr="00E42648">
        <w:rPr>
          <w:rFonts w:cs="Arial"/>
          <w:i/>
          <w:iCs/>
          <w:color w:val="000000"/>
          <w:shd w:val="clear" w:color="auto" w:fill="FFFFFF"/>
          <w:lang w:eastAsia="cs-CZ"/>
        </w:rPr>
        <w:t xml:space="preserve">obdobný, jen v okamžiku instalovaného nového radiátoru </w:t>
      </w:r>
      <w:r>
        <w:rPr>
          <w:rFonts w:cs="Arial"/>
          <w:i/>
          <w:iCs/>
          <w:color w:val="000000"/>
          <w:shd w:val="clear" w:color="auto" w:fill="FFFFFF"/>
          <w:lang w:eastAsia="cs-CZ"/>
        </w:rPr>
        <w:t>firma přijede</w:t>
      </w:r>
      <w:r w:rsidRPr="00E42648">
        <w:rPr>
          <w:rFonts w:cs="Arial"/>
          <w:i/>
          <w:iCs/>
          <w:color w:val="000000"/>
          <w:shd w:val="clear" w:color="auto" w:fill="FFFFFF"/>
          <w:lang w:eastAsia="cs-CZ"/>
        </w:rPr>
        <w:t xml:space="preserve">, </w:t>
      </w:r>
      <w:proofErr w:type="spellStart"/>
      <w:r w:rsidRPr="00E42648">
        <w:rPr>
          <w:rFonts w:cs="Arial"/>
          <w:i/>
          <w:iCs/>
          <w:color w:val="000000"/>
          <w:shd w:val="clear" w:color="auto" w:fill="FFFFFF"/>
          <w:lang w:eastAsia="cs-CZ"/>
        </w:rPr>
        <w:t>zdemontuje</w:t>
      </w:r>
      <w:proofErr w:type="spellEnd"/>
      <w:r w:rsidRPr="00E42648">
        <w:rPr>
          <w:rFonts w:cs="Arial"/>
          <w:i/>
          <w:iCs/>
          <w:color w:val="000000"/>
          <w:shd w:val="clear" w:color="auto" w:fill="FFFFFF"/>
          <w:lang w:eastAsia="cs-CZ"/>
        </w:rPr>
        <w:t xml:space="preserve"> odborně </w:t>
      </w:r>
      <w:r>
        <w:rPr>
          <w:rFonts w:cs="Arial"/>
          <w:i/>
          <w:iCs/>
          <w:color w:val="000000"/>
          <w:shd w:val="clear" w:color="auto" w:fill="FFFFFF"/>
          <w:lang w:eastAsia="cs-CZ"/>
        </w:rPr>
        <w:t>měřidlo z </w:t>
      </w:r>
      <w:r w:rsidRPr="00E42648">
        <w:rPr>
          <w:rFonts w:cs="Arial"/>
          <w:i/>
          <w:iCs/>
          <w:color w:val="000000"/>
          <w:shd w:val="clear" w:color="auto" w:fill="FFFFFF"/>
          <w:lang w:eastAsia="cs-CZ"/>
        </w:rPr>
        <w:t>původního</w:t>
      </w:r>
      <w:r>
        <w:rPr>
          <w:rFonts w:cs="Arial"/>
          <w:i/>
          <w:iCs/>
          <w:color w:val="000000"/>
          <w:shd w:val="clear" w:color="auto" w:fill="FFFFFF"/>
          <w:lang w:eastAsia="cs-CZ"/>
        </w:rPr>
        <w:t xml:space="preserve"> topení</w:t>
      </w:r>
      <w:r w:rsidRPr="00E42648">
        <w:rPr>
          <w:rFonts w:cs="Arial"/>
          <w:i/>
          <w:iCs/>
          <w:color w:val="000000"/>
          <w:shd w:val="clear" w:color="auto" w:fill="FFFFFF"/>
          <w:lang w:eastAsia="cs-CZ"/>
        </w:rPr>
        <w:t xml:space="preserve">, resetuje procesor, vybaví novou západkou, nastřelí nové </w:t>
      </w:r>
      <w:proofErr w:type="spellStart"/>
      <w:r w:rsidRPr="00E42648">
        <w:rPr>
          <w:rFonts w:cs="Arial"/>
          <w:i/>
          <w:iCs/>
          <w:color w:val="000000"/>
          <w:shd w:val="clear" w:color="auto" w:fill="FFFFFF"/>
          <w:lang w:eastAsia="cs-CZ"/>
        </w:rPr>
        <w:t>štefty</w:t>
      </w:r>
      <w:proofErr w:type="spellEnd"/>
      <w:r w:rsidRPr="00E42648">
        <w:rPr>
          <w:rFonts w:cs="Arial"/>
          <w:i/>
          <w:iCs/>
          <w:color w:val="000000"/>
          <w:shd w:val="clear" w:color="auto" w:fill="FFFFFF"/>
          <w:lang w:eastAsia="cs-CZ"/>
        </w:rPr>
        <w:t xml:space="preserve"> na nový radiátor</w:t>
      </w:r>
      <w:r>
        <w:rPr>
          <w:rFonts w:cs="Arial"/>
          <w:i/>
          <w:iCs/>
          <w:color w:val="000000"/>
          <w:shd w:val="clear" w:color="auto" w:fill="FFFFFF"/>
          <w:lang w:eastAsia="cs-CZ"/>
        </w:rPr>
        <w:t>,</w:t>
      </w:r>
      <w:r w:rsidRPr="00E42648">
        <w:rPr>
          <w:rFonts w:cs="Arial"/>
          <w:i/>
          <w:iCs/>
          <w:color w:val="000000"/>
          <w:shd w:val="clear" w:color="auto" w:fill="FFFFFF"/>
          <w:lang w:eastAsia="cs-CZ"/>
        </w:rPr>
        <w:t xml:space="preserve"> zařízení upevní</w:t>
      </w:r>
      <w:r>
        <w:rPr>
          <w:rFonts w:cs="Arial"/>
          <w:i/>
          <w:iCs/>
          <w:color w:val="000000"/>
          <w:shd w:val="clear" w:color="auto" w:fill="FFFFFF"/>
          <w:lang w:eastAsia="cs-CZ"/>
        </w:rPr>
        <w:t xml:space="preserve"> a provede změnu ve své evidenci</w:t>
      </w:r>
      <w:r w:rsidRPr="00E42648">
        <w:rPr>
          <w:rFonts w:cs="Arial"/>
          <w:i/>
          <w:iCs/>
          <w:color w:val="000000"/>
          <w:shd w:val="clear" w:color="auto" w:fill="FFFFFF"/>
          <w:lang w:eastAsia="cs-CZ"/>
        </w:rPr>
        <w:t>.</w:t>
      </w:r>
      <w:r>
        <w:rPr>
          <w:rFonts w:cs="Arial"/>
          <w:i/>
          <w:iCs/>
          <w:color w:val="000000"/>
          <w:shd w:val="clear" w:color="auto" w:fill="FFFFFF"/>
          <w:lang w:eastAsia="cs-CZ"/>
        </w:rPr>
        <w:t>“</w:t>
      </w:r>
    </w:p>
    <w:p w:rsidR="00422732" w:rsidRDefault="00422732" w:rsidP="00422732">
      <w:pPr>
        <w:jc w:val="both"/>
        <w:rPr>
          <w:rFonts w:cs="Arial"/>
          <w:bCs/>
          <w:i/>
          <w:iCs/>
          <w:color w:val="000000"/>
          <w:shd w:val="clear" w:color="auto" w:fill="FFFFFF"/>
          <w:lang w:eastAsia="cs-CZ"/>
        </w:rPr>
      </w:pPr>
      <w:r w:rsidRPr="00E42648">
        <w:rPr>
          <w:rFonts w:cs="Arial"/>
          <w:color w:val="000000"/>
          <w:lang w:eastAsia="cs-CZ"/>
        </w:rPr>
        <w:br/>
      </w:r>
      <w:r w:rsidRPr="00E42648">
        <w:rPr>
          <w:rFonts w:cs="Arial"/>
          <w:bCs/>
          <w:i/>
          <w:iCs/>
          <w:color w:val="000000"/>
          <w:shd w:val="clear" w:color="auto" w:fill="FFFFFF"/>
          <w:lang w:eastAsia="cs-CZ"/>
        </w:rPr>
        <w:t>Celý úkon je v ceně do 500,- Kč/ks měřidla a 1x výjezd technika – hradí vlastník bytu jako odběratel služby.</w:t>
      </w:r>
    </w:p>
    <w:p w:rsidR="00422732" w:rsidRDefault="00422732" w:rsidP="00422732">
      <w:pPr>
        <w:jc w:val="both"/>
        <w:rPr>
          <w:rFonts w:cs="Arial"/>
          <w:bCs/>
          <w:i/>
          <w:iCs/>
          <w:color w:val="000000"/>
          <w:shd w:val="clear" w:color="auto" w:fill="FFFFFF"/>
          <w:lang w:eastAsia="cs-CZ"/>
        </w:rPr>
      </w:pPr>
    </w:p>
    <w:p w:rsidR="00422732" w:rsidRPr="00E42648" w:rsidRDefault="00422732" w:rsidP="00422732">
      <w:pPr>
        <w:jc w:val="both"/>
        <w:rPr>
          <w:rFonts w:cs="Arial"/>
          <w:i/>
          <w:color w:val="000000"/>
          <w:lang w:eastAsia="cs-CZ"/>
        </w:rPr>
      </w:pPr>
      <w:r>
        <w:rPr>
          <w:rFonts w:cs="Arial"/>
          <w:bCs/>
          <w:i/>
          <w:iCs/>
          <w:color w:val="000000"/>
          <w:shd w:val="clear" w:color="auto" w:fill="FFFFFF"/>
          <w:lang w:eastAsia="cs-CZ"/>
        </w:rPr>
        <w:t xml:space="preserve">28. ledna 2020 </w:t>
      </w: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 w:rsidP="001664A7">
      <w:pPr>
        <w:pStyle w:val="Default"/>
      </w:pPr>
    </w:p>
    <w:p w:rsidR="001664A7" w:rsidRDefault="001664A7" w:rsidP="001664A7">
      <w:pPr>
        <w:pStyle w:val="Default"/>
        <w:rPr>
          <w:color w:val="auto"/>
        </w:rPr>
      </w:pPr>
    </w:p>
    <w:p w:rsidR="001664A7" w:rsidRDefault="001664A7" w:rsidP="001664A7">
      <w:pPr>
        <w:pStyle w:val="Default"/>
      </w:pPr>
      <w:r>
        <w:rPr>
          <w:color w:val="auto"/>
        </w:rPr>
        <w:t xml:space="preserve"> </w:t>
      </w: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Default="001664A7">
      <w:pPr>
        <w:jc w:val="both"/>
        <w:rPr>
          <w:rFonts w:ascii="Arial" w:hAnsi="Arial" w:cs="Arial"/>
        </w:rPr>
      </w:pPr>
    </w:p>
    <w:p w:rsidR="001664A7" w:rsidRPr="00BA5E65" w:rsidRDefault="001664A7">
      <w:pPr>
        <w:jc w:val="both"/>
        <w:rPr>
          <w:rFonts w:ascii="Arial" w:hAnsi="Arial" w:cs="Arial"/>
        </w:rPr>
      </w:pPr>
    </w:p>
    <w:sectPr w:rsidR="001664A7" w:rsidRPr="00BA5E65" w:rsidSect="002851BE">
      <w:footerReference w:type="default" r:id="rId11"/>
      <w:pgSz w:w="11906" w:h="16838"/>
      <w:pgMar w:top="1134" w:right="1418" w:bottom="851" w:left="1418" w:header="709" w:footer="709" w:gutter="0"/>
      <w:cols w:space="708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59D" w:rsidRDefault="0050459D" w:rsidP="00AA1763">
      <w:pPr>
        <w:spacing w:line="240" w:lineRule="auto"/>
      </w:pPr>
      <w:r>
        <w:separator/>
      </w:r>
    </w:p>
  </w:endnote>
  <w:endnote w:type="continuationSeparator" w:id="0">
    <w:p w:rsidR="0050459D" w:rsidRDefault="0050459D" w:rsidP="00AA1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340506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B4176" w:rsidRPr="00C26751" w:rsidRDefault="00FB4176" w:rsidP="00C26751">
        <w:pPr>
          <w:pStyle w:val="Zpat"/>
          <w:pBdr>
            <w:bottom w:val="single" w:sz="6" w:space="1" w:color="auto"/>
          </w:pBdr>
        </w:pPr>
      </w:p>
      <w:p w:rsidR="00FB4176" w:rsidRPr="00C26751" w:rsidRDefault="00FB4176" w:rsidP="00C26751">
        <w:pPr>
          <w:pStyle w:val="Zpat"/>
          <w:jc w:val="center"/>
          <w:rPr>
            <w:rFonts w:ascii="Arial" w:hAnsi="Arial" w:cs="Arial"/>
            <w:sz w:val="20"/>
          </w:rPr>
        </w:pPr>
        <w:r w:rsidRPr="00C26751">
          <w:rPr>
            <w:rFonts w:ascii="Arial" w:hAnsi="Arial" w:cs="Arial"/>
            <w:sz w:val="20"/>
          </w:rPr>
          <w:t>Jednání výboru Společenství vlastníků bytových jednotek Olomouc, Nové Sady, Družební 9 – 19</w:t>
        </w:r>
      </w:p>
      <w:p w:rsidR="00FB4176" w:rsidRPr="00C26751" w:rsidRDefault="00FB4176" w:rsidP="00C26751">
        <w:pPr>
          <w:pStyle w:val="Zpat"/>
          <w:jc w:val="center"/>
          <w:rPr>
            <w:rFonts w:ascii="Arial" w:hAnsi="Arial" w:cs="Arial"/>
            <w:sz w:val="20"/>
          </w:rPr>
        </w:pPr>
        <w:r w:rsidRPr="00C26751">
          <w:rPr>
            <w:rFonts w:ascii="Arial" w:hAnsi="Arial" w:cs="Arial"/>
            <w:sz w:val="20"/>
          </w:rPr>
          <w:t>strana č.</w:t>
        </w:r>
        <w:r w:rsidR="000130D0" w:rsidRPr="00C26751">
          <w:rPr>
            <w:rFonts w:ascii="Arial" w:hAnsi="Arial" w:cs="Arial"/>
            <w:sz w:val="20"/>
          </w:rPr>
          <w:fldChar w:fldCharType="begin"/>
        </w:r>
        <w:r w:rsidRPr="00C26751">
          <w:rPr>
            <w:rFonts w:ascii="Arial" w:hAnsi="Arial" w:cs="Arial"/>
            <w:sz w:val="20"/>
          </w:rPr>
          <w:instrText>PAGE   \* MERGEFORMAT</w:instrText>
        </w:r>
        <w:r w:rsidR="000130D0" w:rsidRPr="00C26751">
          <w:rPr>
            <w:rFonts w:ascii="Arial" w:hAnsi="Arial" w:cs="Arial"/>
            <w:sz w:val="20"/>
          </w:rPr>
          <w:fldChar w:fldCharType="separate"/>
        </w:r>
        <w:r w:rsidR="00E76AC4">
          <w:rPr>
            <w:rFonts w:ascii="Arial" w:hAnsi="Arial" w:cs="Arial"/>
            <w:noProof/>
            <w:sz w:val="20"/>
          </w:rPr>
          <w:t>1</w:t>
        </w:r>
        <w:r w:rsidR="000130D0" w:rsidRPr="00C26751">
          <w:rPr>
            <w:rFonts w:ascii="Arial" w:hAnsi="Arial" w:cs="Arial"/>
            <w:sz w:val="20"/>
          </w:rPr>
          <w:fldChar w:fldCharType="end"/>
        </w:r>
      </w:p>
    </w:sdtContent>
  </w:sdt>
  <w:p w:rsidR="00FB4176" w:rsidRDefault="00FB417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59D" w:rsidRDefault="0050459D" w:rsidP="00AA1763">
      <w:pPr>
        <w:spacing w:line="240" w:lineRule="auto"/>
      </w:pPr>
      <w:r>
        <w:separator/>
      </w:r>
    </w:p>
  </w:footnote>
  <w:footnote w:type="continuationSeparator" w:id="0">
    <w:p w:rsidR="0050459D" w:rsidRDefault="0050459D" w:rsidP="00AA17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alibri"/>
        <w:b w:val="0"/>
        <w:bCs w:val="0"/>
        <w:color w:val="000000"/>
        <w:sz w:val="24"/>
        <w:szCs w:val="24"/>
      </w:rPr>
    </w:lvl>
  </w:abstractNum>
  <w:abstractNum w:abstractNumId="1">
    <w:nsid w:val="01264B21"/>
    <w:multiLevelType w:val="hybridMultilevel"/>
    <w:tmpl w:val="D5EAFA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0A43BA"/>
    <w:multiLevelType w:val="hybridMultilevel"/>
    <w:tmpl w:val="D8C826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382193"/>
    <w:multiLevelType w:val="hybridMultilevel"/>
    <w:tmpl w:val="D31C7B9A"/>
    <w:lvl w:ilvl="0" w:tplc="D2C8E5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66B27"/>
    <w:multiLevelType w:val="hybridMultilevel"/>
    <w:tmpl w:val="5352086A"/>
    <w:lvl w:ilvl="0" w:tplc="3BE0776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B572F4"/>
    <w:multiLevelType w:val="hybridMultilevel"/>
    <w:tmpl w:val="09A8DEFA"/>
    <w:lvl w:ilvl="0" w:tplc="7D00CE26">
      <w:start w:val="17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11E07CA5"/>
    <w:multiLevelType w:val="hybridMultilevel"/>
    <w:tmpl w:val="5692BA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987A42"/>
    <w:multiLevelType w:val="hybridMultilevel"/>
    <w:tmpl w:val="305EE1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D23F74"/>
    <w:multiLevelType w:val="hybridMultilevel"/>
    <w:tmpl w:val="0F98A0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B05B0B"/>
    <w:multiLevelType w:val="hybridMultilevel"/>
    <w:tmpl w:val="7318CF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313485"/>
    <w:multiLevelType w:val="hybridMultilevel"/>
    <w:tmpl w:val="9224F446"/>
    <w:lvl w:ilvl="0" w:tplc="0C4405AA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D7E21"/>
    <w:multiLevelType w:val="hybridMultilevel"/>
    <w:tmpl w:val="0F8CE9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245657"/>
    <w:multiLevelType w:val="hybridMultilevel"/>
    <w:tmpl w:val="34F610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232B39"/>
    <w:multiLevelType w:val="hybridMultilevel"/>
    <w:tmpl w:val="B89CB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05BA7"/>
    <w:multiLevelType w:val="hybridMultilevel"/>
    <w:tmpl w:val="9EEEB5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FF4A2A"/>
    <w:multiLevelType w:val="hybridMultilevel"/>
    <w:tmpl w:val="FECEF06E"/>
    <w:lvl w:ilvl="0" w:tplc="0C2C69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17008"/>
    <w:multiLevelType w:val="hybridMultilevel"/>
    <w:tmpl w:val="59DEE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F226F"/>
    <w:multiLevelType w:val="hybridMultilevel"/>
    <w:tmpl w:val="1F4C0B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795908"/>
    <w:multiLevelType w:val="hybridMultilevel"/>
    <w:tmpl w:val="19AC51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410017"/>
    <w:multiLevelType w:val="hybridMultilevel"/>
    <w:tmpl w:val="190895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1B3BB2"/>
    <w:multiLevelType w:val="hybridMultilevel"/>
    <w:tmpl w:val="A106F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951C65"/>
    <w:multiLevelType w:val="hybridMultilevel"/>
    <w:tmpl w:val="433255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F61408"/>
    <w:multiLevelType w:val="hybridMultilevel"/>
    <w:tmpl w:val="567EA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F3655"/>
    <w:multiLevelType w:val="hybridMultilevel"/>
    <w:tmpl w:val="6D7A6D60"/>
    <w:lvl w:ilvl="0" w:tplc="FC3E9EA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2A5F60"/>
    <w:multiLevelType w:val="multilevel"/>
    <w:tmpl w:val="6BE2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561997"/>
    <w:multiLevelType w:val="hybridMultilevel"/>
    <w:tmpl w:val="CC9CF2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DF34D2"/>
    <w:multiLevelType w:val="hybridMultilevel"/>
    <w:tmpl w:val="2228CCA4"/>
    <w:lvl w:ilvl="0" w:tplc="E398E418">
      <w:start w:val="2"/>
      <w:numFmt w:val="bullet"/>
      <w:lvlText w:val="-"/>
      <w:lvlJc w:val="left"/>
      <w:pPr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13"/>
  </w:num>
  <w:num w:numId="5">
    <w:abstractNumId w:val="16"/>
  </w:num>
  <w:num w:numId="6">
    <w:abstractNumId w:val="6"/>
  </w:num>
  <w:num w:numId="7">
    <w:abstractNumId w:val="20"/>
  </w:num>
  <w:num w:numId="8">
    <w:abstractNumId w:val="1"/>
  </w:num>
  <w:num w:numId="9">
    <w:abstractNumId w:val="21"/>
  </w:num>
  <w:num w:numId="10">
    <w:abstractNumId w:val="17"/>
  </w:num>
  <w:num w:numId="11">
    <w:abstractNumId w:val="12"/>
  </w:num>
  <w:num w:numId="12">
    <w:abstractNumId w:val="2"/>
  </w:num>
  <w:num w:numId="13">
    <w:abstractNumId w:val="26"/>
  </w:num>
  <w:num w:numId="14">
    <w:abstractNumId w:val="10"/>
  </w:num>
  <w:num w:numId="15">
    <w:abstractNumId w:val="18"/>
  </w:num>
  <w:num w:numId="16">
    <w:abstractNumId w:val="15"/>
  </w:num>
  <w:num w:numId="17">
    <w:abstractNumId w:val="24"/>
  </w:num>
  <w:num w:numId="18">
    <w:abstractNumId w:val="3"/>
  </w:num>
  <w:num w:numId="19">
    <w:abstractNumId w:val="22"/>
  </w:num>
  <w:num w:numId="20">
    <w:abstractNumId w:val="8"/>
  </w:num>
  <w:num w:numId="21">
    <w:abstractNumId w:val="9"/>
  </w:num>
  <w:num w:numId="22">
    <w:abstractNumId w:val="11"/>
  </w:num>
  <w:num w:numId="23">
    <w:abstractNumId w:val="25"/>
  </w:num>
  <w:num w:numId="24">
    <w:abstractNumId w:val="23"/>
  </w:num>
  <w:num w:numId="25">
    <w:abstractNumId w:val="7"/>
  </w:num>
  <w:num w:numId="26">
    <w:abstractNumId w:val="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040D4"/>
    <w:rsid w:val="00003615"/>
    <w:rsid w:val="00003C3D"/>
    <w:rsid w:val="0000489B"/>
    <w:rsid w:val="00011C82"/>
    <w:rsid w:val="000130D0"/>
    <w:rsid w:val="0001736F"/>
    <w:rsid w:val="000347D9"/>
    <w:rsid w:val="00035B39"/>
    <w:rsid w:val="000456E1"/>
    <w:rsid w:val="00057A77"/>
    <w:rsid w:val="00064624"/>
    <w:rsid w:val="00071F58"/>
    <w:rsid w:val="00072F57"/>
    <w:rsid w:val="00074429"/>
    <w:rsid w:val="00074678"/>
    <w:rsid w:val="00092AA2"/>
    <w:rsid w:val="000948D7"/>
    <w:rsid w:val="000C0DDA"/>
    <w:rsid w:val="000D1FDF"/>
    <w:rsid w:val="000D5F0A"/>
    <w:rsid w:val="000E3C5C"/>
    <w:rsid w:val="000E76E1"/>
    <w:rsid w:val="000F6D23"/>
    <w:rsid w:val="00104D84"/>
    <w:rsid w:val="00107BC0"/>
    <w:rsid w:val="00113744"/>
    <w:rsid w:val="00114C91"/>
    <w:rsid w:val="00136A8F"/>
    <w:rsid w:val="00137CB0"/>
    <w:rsid w:val="001543CB"/>
    <w:rsid w:val="00156327"/>
    <w:rsid w:val="00157E58"/>
    <w:rsid w:val="001608D7"/>
    <w:rsid w:val="0016255C"/>
    <w:rsid w:val="00164A3A"/>
    <w:rsid w:val="00165363"/>
    <w:rsid w:val="001664A7"/>
    <w:rsid w:val="00166F10"/>
    <w:rsid w:val="001706C7"/>
    <w:rsid w:val="00172F7E"/>
    <w:rsid w:val="00176915"/>
    <w:rsid w:val="0018251A"/>
    <w:rsid w:val="00185185"/>
    <w:rsid w:val="00195B91"/>
    <w:rsid w:val="001969AC"/>
    <w:rsid w:val="00197B13"/>
    <w:rsid w:val="001C576F"/>
    <w:rsid w:val="001D4214"/>
    <w:rsid w:val="001E333F"/>
    <w:rsid w:val="001E7DF9"/>
    <w:rsid w:val="0022057F"/>
    <w:rsid w:val="00240E5A"/>
    <w:rsid w:val="0025457C"/>
    <w:rsid w:val="00263F42"/>
    <w:rsid w:val="00265683"/>
    <w:rsid w:val="00265B5C"/>
    <w:rsid w:val="00270438"/>
    <w:rsid w:val="002773E5"/>
    <w:rsid w:val="00281132"/>
    <w:rsid w:val="0028190A"/>
    <w:rsid w:val="00282EC4"/>
    <w:rsid w:val="002851BE"/>
    <w:rsid w:val="00295843"/>
    <w:rsid w:val="002B5115"/>
    <w:rsid w:val="002B707F"/>
    <w:rsid w:val="002C1FDB"/>
    <w:rsid w:val="002C46FC"/>
    <w:rsid w:val="002E6C92"/>
    <w:rsid w:val="002F51FF"/>
    <w:rsid w:val="00302F11"/>
    <w:rsid w:val="00310AD7"/>
    <w:rsid w:val="00314D9E"/>
    <w:rsid w:val="003207DF"/>
    <w:rsid w:val="0032165B"/>
    <w:rsid w:val="003263DD"/>
    <w:rsid w:val="00330062"/>
    <w:rsid w:val="003323D1"/>
    <w:rsid w:val="00351FCB"/>
    <w:rsid w:val="0036281F"/>
    <w:rsid w:val="003704E7"/>
    <w:rsid w:val="00381511"/>
    <w:rsid w:val="00382141"/>
    <w:rsid w:val="00386A09"/>
    <w:rsid w:val="0039506E"/>
    <w:rsid w:val="003957EF"/>
    <w:rsid w:val="003C26A3"/>
    <w:rsid w:val="003C409F"/>
    <w:rsid w:val="003D44A6"/>
    <w:rsid w:val="003E4132"/>
    <w:rsid w:val="003E7450"/>
    <w:rsid w:val="003F09BE"/>
    <w:rsid w:val="003F4F3A"/>
    <w:rsid w:val="003F6D59"/>
    <w:rsid w:val="004043DD"/>
    <w:rsid w:val="00405CAB"/>
    <w:rsid w:val="00412EED"/>
    <w:rsid w:val="00415A32"/>
    <w:rsid w:val="00422732"/>
    <w:rsid w:val="00433E1F"/>
    <w:rsid w:val="00433FAC"/>
    <w:rsid w:val="004368EC"/>
    <w:rsid w:val="00455860"/>
    <w:rsid w:val="004611CE"/>
    <w:rsid w:val="0046155F"/>
    <w:rsid w:val="004625E2"/>
    <w:rsid w:val="00477145"/>
    <w:rsid w:val="004859C6"/>
    <w:rsid w:val="0049113A"/>
    <w:rsid w:val="0049336D"/>
    <w:rsid w:val="004B57AE"/>
    <w:rsid w:val="004C4FC6"/>
    <w:rsid w:val="00500D10"/>
    <w:rsid w:val="0050459D"/>
    <w:rsid w:val="00504F51"/>
    <w:rsid w:val="0050605C"/>
    <w:rsid w:val="00530A62"/>
    <w:rsid w:val="005313DE"/>
    <w:rsid w:val="00532A88"/>
    <w:rsid w:val="005367E9"/>
    <w:rsid w:val="0054055C"/>
    <w:rsid w:val="00542D19"/>
    <w:rsid w:val="005501BD"/>
    <w:rsid w:val="00556446"/>
    <w:rsid w:val="00565502"/>
    <w:rsid w:val="005725F6"/>
    <w:rsid w:val="00572EFD"/>
    <w:rsid w:val="00573850"/>
    <w:rsid w:val="00581921"/>
    <w:rsid w:val="00587F0E"/>
    <w:rsid w:val="00592642"/>
    <w:rsid w:val="005A6540"/>
    <w:rsid w:val="005B286C"/>
    <w:rsid w:val="005B4642"/>
    <w:rsid w:val="005D2A75"/>
    <w:rsid w:val="005D3D5D"/>
    <w:rsid w:val="005D4348"/>
    <w:rsid w:val="005E004D"/>
    <w:rsid w:val="005E236B"/>
    <w:rsid w:val="005E6C3F"/>
    <w:rsid w:val="005E7C07"/>
    <w:rsid w:val="005F3831"/>
    <w:rsid w:val="00611EA6"/>
    <w:rsid w:val="0061374C"/>
    <w:rsid w:val="00613B19"/>
    <w:rsid w:val="00614E26"/>
    <w:rsid w:val="00620758"/>
    <w:rsid w:val="00623A87"/>
    <w:rsid w:val="00645C99"/>
    <w:rsid w:val="00654B7C"/>
    <w:rsid w:val="00671E3B"/>
    <w:rsid w:val="0067233F"/>
    <w:rsid w:val="0068662F"/>
    <w:rsid w:val="00687114"/>
    <w:rsid w:val="00687DFE"/>
    <w:rsid w:val="0069288F"/>
    <w:rsid w:val="006A0620"/>
    <w:rsid w:val="006A360D"/>
    <w:rsid w:val="006A67DB"/>
    <w:rsid w:val="006B23A6"/>
    <w:rsid w:val="006C1858"/>
    <w:rsid w:val="006C2809"/>
    <w:rsid w:val="006D2314"/>
    <w:rsid w:val="006D35A3"/>
    <w:rsid w:val="006F7E14"/>
    <w:rsid w:val="007006BC"/>
    <w:rsid w:val="00711A38"/>
    <w:rsid w:val="0071779D"/>
    <w:rsid w:val="0072098C"/>
    <w:rsid w:val="007211F5"/>
    <w:rsid w:val="0073085A"/>
    <w:rsid w:val="007318B8"/>
    <w:rsid w:val="00745BC2"/>
    <w:rsid w:val="00767C69"/>
    <w:rsid w:val="00767DFF"/>
    <w:rsid w:val="0077572A"/>
    <w:rsid w:val="00780A78"/>
    <w:rsid w:val="00781822"/>
    <w:rsid w:val="00783FE4"/>
    <w:rsid w:val="0078608B"/>
    <w:rsid w:val="0079079C"/>
    <w:rsid w:val="007937C0"/>
    <w:rsid w:val="00797B8C"/>
    <w:rsid w:val="007A24BF"/>
    <w:rsid w:val="007B7AC0"/>
    <w:rsid w:val="007C738A"/>
    <w:rsid w:val="007D38BE"/>
    <w:rsid w:val="007D5084"/>
    <w:rsid w:val="007E42B5"/>
    <w:rsid w:val="007F641B"/>
    <w:rsid w:val="008040D4"/>
    <w:rsid w:val="00804820"/>
    <w:rsid w:val="008167EF"/>
    <w:rsid w:val="008171E5"/>
    <w:rsid w:val="00817EE4"/>
    <w:rsid w:val="008315A4"/>
    <w:rsid w:val="008512C9"/>
    <w:rsid w:val="00863C9C"/>
    <w:rsid w:val="00863E9C"/>
    <w:rsid w:val="0086605D"/>
    <w:rsid w:val="00870763"/>
    <w:rsid w:val="008763D7"/>
    <w:rsid w:val="00880837"/>
    <w:rsid w:val="008824D6"/>
    <w:rsid w:val="008850B6"/>
    <w:rsid w:val="00891C8D"/>
    <w:rsid w:val="00892D0B"/>
    <w:rsid w:val="008A58C0"/>
    <w:rsid w:val="008B0D7E"/>
    <w:rsid w:val="008B4FB6"/>
    <w:rsid w:val="008B741C"/>
    <w:rsid w:val="008C7BA5"/>
    <w:rsid w:val="008D0DAE"/>
    <w:rsid w:val="008D369B"/>
    <w:rsid w:val="008D5BD2"/>
    <w:rsid w:val="008E083A"/>
    <w:rsid w:val="008E5BAB"/>
    <w:rsid w:val="008E6DC4"/>
    <w:rsid w:val="008F30F5"/>
    <w:rsid w:val="00907D49"/>
    <w:rsid w:val="00924A15"/>
    <w:rsid w:val="00932C81"/>
    <w:rsid w:val="00942321"/>
    <w:rsid w:val="0094448B"/>
    <w:rsid w:val="00944982"/>
    <w:rsid w:val="00956867"/>
    <w:rsid w:val="00971489"/>
    <w:rsid w:val="00973D73"/>
    <w:rsid w:val="009862C3"/>
    <w:rsid w:val="00986DD3"/>
    <w:rsid w:val="00996374"/>
    <w:rsid w:val="009A3D29"/>
    <w:rsid w:val="009A6FF9"/>
    <w:rsid w:val="009B1576"/>
    <w:rsid w:val="009B6903"/>
    <w:rsid w:val="009C0C05"/>
    <w:rsid w:val="009C35CB"/>
    <w:rsid w:val="009E0CAA"/>
    <w:rsid w:val="00A2057C"/>
    <w:rsid w:val="00A30F12"/>
    <w:rsid w:val="00A32B82"/>
    <w:rsid w:val="00A34175"/>
    <w:rsid w:val="00A423E4"/>
    <w:rsid w:val="00A479E3"/>
    <w:rsid w:val="00A553A5"/>
    <w:rsid w:val="00A56862"/>
    <w:rsid w:val="00A57EB3"/>
    <w:rsid w:val="00A67298"/>
    <w:rsid w:val="00A77527"/>
    <w:rsid w:val="00AA1763"/>
    <w:rsid w:val="00AB2CA2"/>
    <w:rsid w:val="00AC1BDE"/>
    <w:rsid w:val="00AC21B9"/>
    <w:rsid w:val="00AF5FA4"/>
    <w:rsid w:val="00AF669D"/>
    <w:rsid w:val="00B124CC"/>
    <w:rsid w:val="00B277C9"/>
    <w:rsid w:val="00B308A6"/>
    <w:rsid w:val="00B33206"/>
    <w:rsid w:val="00B42028"/>
    <w:rsid w:val="00B8319C"/>
    <w:rsid w:val="00B86C2F"/>
    <w:rsid w:val="00B94825"/>
    <w:rsid w:val="00BA03BD"/>
    <w:rsid w:val="00BA5E65"/>
    <w:rsid w:val="00BB1930"/>
    <w:rsid w:val="00BD2858"/>
    <w:rsid w:val="00BF166C"/>
    <w:rsid w:val="00C051F2"/>
    <w:rsid w:val="00C11971"/>
    <w:rsid w:val="00C22243"/>
    <w:rsid w:val="00C24300"/>
    <w:rsid w:val="00C26751"/>
    <w:rsid w:val="00C32E68"/>
    <w:rsid w:val="00C33319"/>
    <w:rsid w:val="00C35972"/>
    <w:rsid w:val="00C35EDC"/>
    <w:rsid w:val="00C36BA0"/>
    <w:rsid w:val="00C51B52"/>
    <w:rsid w:val="00C679BA"/>
    <w:rsid w:val="00C751DC"/>
    <w:rsid w:val="00C81C2F"/>
    <w:rsid w:val="00CA5BBE"/>
    <w:rsid w:val="00CB4E07"/>
    <w:rsid w:val="00CC09C4"/>
    <w:rsid w:val="00CC2233"/>
    <w:rsid w:val="00CC342F"/>
    <w:rsid w:val="00CC347F"/>
    <w:rsid w:val="00CC4FD3"/>
    <w:rsid w:val="00CC65BC"/>
    <w:rsid w:val="00CD09DD"/>
    <w:rsid w:val="00CD67D0"/>
    <w:rsid w:val="00CE202E"/>
    <w:rsid w:val="00CF24F4"/>
    <w:rsid w:val="00CF7391"/>
    <w:rsid w:val="00D03C21"/>
    <w:rsid w:val="00D219C9"/>
    <w:rsid w:val="00D22957"/>
    <w:rsid w:val="00D2295E"/>
    <w:rsid w:val="00D32A7D"/>
    <w:rsid w:val="00D35830"/>
    <w:rsid w:val="00D47D07"/>
    <w:rsid w:val="00D56844"/>
    <w:rsid w:val="00D66752"/>
    <w:rsid w:val="00D94B0F"/>
    <w:rsid w:val="00DA0F40"/>
    <w:rsid w:val="00DB0EE4"/>
    <w:rsid w:val="00DE3BFF"/>
    <w:rsid w:val="00DE7089"/>
    <w:rsid w:val="00DF020B"/>
    <w:rsid w:val="00E11079"/>
    <w:rsid w:val="00E1166A"/>
    <w:rsid w:val="00E125F9"/>
    <w:rsid w:val="00E15781"/>
    <w:rsid w:val="00E276AE"/>
    <w:rsid w:val="00E3442E"/>
    <w:rsid w:val="00E4329D"/>
    <w:rsid w:val="00E465DF"/>
    <w:rsid w:val="00E51917"/>
    <w:rsid w:val="00E52972"/>
    <w:rsid w:val="00E56573"/>
    <w:rsid w:val="00E60168"/>
    <w:rsid w:val="00E74BF7"/>
    <w:rsid w:val="00E76AC4"/>
    <w:rsid w:val="00E8258E"/>
    <w:rsid w:val="00E866C7"/>
    <w:rsid w:val="00E91239"/>
    <w:rsid w:val="00EA33DE"/>
    <w:rsid w:val="00EC10CB"/>
    <w:rsid w:val="00EC5FC1"/>
    <w:rsid w:val="00ED0854"/>
    <w:rsid w:val="00EE44B2"/>
    <w:rsid w:val="00F02257"/>
    <w:rsid w:val="00F031E5"/>
    <w:rsid w:val="00F04861"/>
    <w:rsid w:val="00F04A00"/>
    <w:rsid w:val="00F06858"/>
    <w:rsid w:val="00F15CE7"/>
    <w:rsid w:val="00F160F1"/>
    <w:rsid w:val="00F42873"/>
    <w:rsid w:val="00F47186"/>
    <w:rsid w:val="00F504A0"/>
    <w:rsid w:val="00F50E4A"/>
    <w:rsid w:val="00F61292"/>
    <w:rsid w:val="00F74AB0"/>
    <w:rsid w:val="00F768A9"/>
    <w:rsid w:val="00F955EB"/>
    <w:rsid w:val="00FA5E36"/>
    <w:rsid w:val="00FB22C3"/>
    <w:rsid w:val="00FB4176"/>
    <w:rsid w:val="00FC10B7"/>
    <w:rsid w:val="00FD6587"/>
    <w:rsid w:val="00FF2418"/>
    <w:rsid w:val="00FF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F0E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587F0E"/>
  </w:style>
  <w:style w:type="character" w:styleId="Hypertextovodkaz">
    <w:name w:val="Hyperlink"/>
    <w:rsid w:val="00587F0E"/>
    <w:rPr>
      <w:color w:val="0000FF"/>
      <w:u w:val="single"/>
    </w:rPr>
  </w:style>
  <w:style w:type="character" w:customStyle="1" w:styleId="ListLabel1">
    <w:name w:val="ListLabel 1"/>
    <w:rsid w:val="00587F0E"/>
    <w:rPr>
      <w:rFonts w:cs="Courier New"/>
    </w:rPr>
  </w:style>
  <w:style w:type="paragraph" w:customStyle="1" w:styleId="Nadpis">
    <w:name w:val="Nadpis"/>
    <w:basedOn w:val="Normln"/>
    <w:next w:val="Zkladntext"/>
    <w:rsid w:val="00587F0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587F0E"/>
    <w:pPr>
      <w:spacing w:after="120"/>
    </w:pPr>
  </w:style>
  <w:style w:type="paragraph" w:styleId="Seznam">
    <w:name w:val="List"/>
    <w:basedOn w:val="Zkladntext"/>
    <w:rsid w:val="00587F0E"/>
    <w:rPr>
      <w:rFonts w:cs="Arial"/>
    </w:rPr>
  </w:style>
  <w:style w:type="paragraph" w:customStyle="1" w:styleId="Popisek">
    <w:name w:val="Popisek"/>
    <w:basedOn w:val="Normln"/>
    <w:rsid w:val="00587F0E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rsid w:val="00587F0E"/>
    <w:pPr>
      <w:suppressLineNumbers/>
    </w:pPr>
    <w:rPr>
      <w:rFonts w:cs="Arial"/>
    </w:rPr>
  </w:style>
  <w:style w:type="paragraph" w:customStyle="1" w:styleId="Odstavecseseznamem1">
    <w:name w:val="Odstavec se seznamem1"/>
    <w:basedOn w:val="Normln"/>
    <w:rsid w:val="00587F0E"/>
    <w:pPr>
      <w:ind w:left="720"/>
    </w:pPr>
  </w:style>
  <w:style w:type="paragraph" w:styleId="Odstavecseseznamem">
    <w:name w:val="List Paragraph"/>
    <w:basedOn w:val="Normln"/>
    <w:uiPriority w:val="34"/>
    <w:qFormat/>
    <w:rsid w:val="00611EA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176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763"/>
    <w:rPr>
      <w:kern w:val="1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A176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763"/>
    <w:rPr>
      <w:kern w:val="1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CF7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42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D19"/>
    <w:rPr>
      <w:rFonts w:ascii="Tahoma" w:hAnsi="Tahoma" w:cs="Tahoma"/>
      <w:kern w:val="1"/>
      <w:sz w:val="16"/>
      <w:szCs w:val="16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62075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AC1BDE"/>
  </w:style>
  <w:style w:type="paragraph" w:customStyle="1" w:styleId="Default">
    <w:name w:val="Default"/>
    <w:rsid w:val="000C0D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04820"/>
    <w:pPr>
      <w:suppressAutoHyphens w:val="0"/>
      <w:spacing w:before="100" w:beforeAutospacing="1" w:after="100" w:afterAutospacing="1" w:line="240" w:lineRule="auto"/>
    </w:pPr>
    <w:rPr>
      <w:rFonts w:eastAsiaTheme="minorHAnsi"/>
      <w:kern w:val="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06C7"/>
    <w:pPr>
      <w:suppressAutoHyphens w:val="0"/>
      <w:spacing w:line="240" w:lineRule="auto"/>
    </w:pPr>
    <w:rPr>
      <w:rFonts w:ascii="Arial" w:eastAsiaTheme="minorHAnsi" w:hAnsi="Arial" w:cs="Arial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06C7"/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uzebni.webnod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ruzebni.webnod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skrabisova@sno.cz%2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ADEA0-4052-4AA5-95E6-B7A92AB4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6</Pages>
  <Words>1794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12360</CharactersWithSpaces>
  <SharedDoc>false</SharedDoc>
  <HLinks>
    <vt:vector size="6" baseType="variant">
      <vt:variant>
        <vt:i4>2359343</vt:i4>
      </vt:variant>
      <vt:variant>
        <vt:i4>0</vt:i4>
      </vt:variant>
      <vt:variant>
        <vt:i4>0</vt:i4>
      </vt:variant>
      <vt:variant>
        <vt:i4>5</vt:i4>
      </vt:variant>
      <vt:variant>
        <vt:lpwstr>http://www.druzebni.webnode.cz/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37375</dc:creator>
  <cp:lastModifiedBy>vera stembirkova</cp:lastModifiedBy>
  <cp:revision>75</cp:revision>
  <cp:lastPrinted>2019-09-10T17:32:00Z</cp:lastPrinted>
  <dcterms:created xsi:type="dcterms:W3CDTF">2018-06-04T07:36:00Z</dcterms:created>
  <dcterms:modified xsi:type="dcterms:W3CDTF">2020-02-20T14:57:00Z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FNOL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